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EEC29" w14:textId="77777777" w:rsidR="00E009E0" w:rsidRDefault="00E009E0" w:rsidP="0042718A">
      <w:pPr>
        <w:tabs>
          <w:tab w:val="left" w:pos="8080"/>
        </w:tabs>
        <w:ind w:left="3540" w:right="-851"/>
        <w:rPr>
          <w:rFonts w:ascii="Verdana" w:hAnsi="Verdana"/>
          <w:b/>
          <w:sz w:val="28"/>
          <w:szCs w:val="28"/>
        </w:rPr>
      </w:pPr>
      <w:bookmarkStart w:id="0" w:name="_GoBack"/>
      <w:bookmarkEnd w:id="0"/>
    </w:p>
    <w:p w14:paraId="3D567EDE" w14:textId="77777777" w:rsidR="0042718A" w:rsidRDefault="00CD4429" w:rsidP="00CD4429">
      <w:pPr>
        <w:tabs>
          <w:tab w:val="left" w:pos="8080"/>
        </w:tabs>
        <w:ind w:right="-851"/>
        <w:rPr>
          <w:rFonts w:ascii="Verdana" w:hAnsi="Verdana"/>
          <w:b/>
          <w:sz w:val="56"/>
          <w:szCs w:val="56"/>
        </w:rPr>
      </w:pPr>
      <w:r>
        <w:rPr>
          <w:rFonts w:ascii="Verdana" w:hAnsi="Verdana"/>
          <w:b/>
          <w:sz w:val="56"/>
          <w:szCs w:val="56"/>
        </w:rPr>
        <w:t xml:space="preserve">                 </w:t>
      </w:r>
      <w:r w:rsidR="0042718A" w:rsidRPr="0042718A">
        <w:rPr>
          <w:rFonts w:ascii="Verdana" w:hAnsi="Verdana"/>
          <w:b/>
          <w:noProof/>
          <w:sz w:val="56"/>
          <w:szCs w:val="56"/>
          <w:lang w:val="en-US"/>
        </w:rPr>
        <w:drawing>
          <wp:inline distT="0" distB="0" distL="0" distR="0" wp14:anchorId="15BC4FA4" wp14:editId="7447F901">
            <wp:extent cx="1813560" cy="1985409"/>
            <wp:effectExtent l="0" t="0" r="0" b="0"/>
            <wp:docPr id="4" name="Image 4" descr="C:\Users\philippe\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pe\Desk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681" cy="1992110"/>
                    </a:xfrm>
                    <a:prstGeom prst="rect">
                      <a:avLst/>
                    </a:prstGeom>
                    <a:noFill/>
                    <a:ln>
                      <a:noFill/>
                    </a:ln>
                  </pic:spPr>
                </pic:pic>
              </a:graphicData>
            </a:graphic>
          </wp:inline>
        </w:drawing>
      </w:r>
    </w:p>
    <w:p w14:paraId="3A4DD74D" w14:textId="77777777" w:rsidR="0042718A" w:rsidRDefault="0042718A" w:rsidP="0042718A">
      <w:pPr>
        <w:tabs>
          <w:tab w:val="left" w:pos="8080"/>
        </w:tabs>
        <w:ind w:right="-851"/>
        <w:jc w:val="center"/>
        <w:rPr>
          <w:rFonts w:ascii="Verdana" w:hAnsi="Verdana"/>
          <w:b/>
          <w:sz w:val="56"/>
          <w:szCs w:val="56"/>
        </w:rPr>
      </w:pPr>
    </w:p>
    <w:p w14:paraId="5749863A" w14:textId="77777777" w:rsidR="0042718A" w:rsidRDefault="0042718A" w:rsidP="0042718A">
      <w:pPr>
        <w:tabs>
          <w:tab w:val="left" w:pos="8080"/>
        </w:tabs>
        <w:ind w:right="-851"/>
        <w:rPr>
          <w:rFonts w:ascii="Verdana" w:hAnsi="Verdana"/>
          <w:b/>
          <w:sz w:val="56"/>
          <w:szCs w:val="56"/>
        </w:rPr>
      </w:pPr>
      <w:r>
        <w:rPr>
          <w:rFonts w:ascii="Verdana" w:hAnsi="Verdana"/>
          <w:b/>
          <w:sz w:val="56"/>
          <w:szCs w:val="56"/>
        </w:rPr>
        <w:t xml:space="preserve">                  RAPPORT</w:t>
      </w:r>
    </w:p>
    <w:p w14:paraId="3AAF566F" w14:textId="3CE9D59D" w:rsidR="008206CA" w:rsidRPr="0042718A" w:rsidRDefault="0042718A" w:rsidP="0042718A">
      <w:pPr>
        <w:pStyle w:val="NoSpacing"/>
        <w:ind w:left="851"/>
        <w:jc w:val="center"/>
        <w:rPr>
          <w:rFonts w:ascii="Verdana" w:hAnsi="Verdana"/>
          <w:b/>
          <w:sz w:val="52"/>
          <w:szCs w:val="52"/>
        </w:rPr>
      </w:pPr>
      <w:r w:rsidRPr="0042718A">
        <w:rPr>
          <w:rFonts w:ascii="Verdana" w:hAnsi="Verdana"/>
          <w:b/>
          <w:sz w:val="52"/>
          <w:szCs w:val="52"/>
        </w:rPr>
        <w:t xml:space="preserve">SUR LES ORIENTATIONS       </w:t>
      </w:r>
      <w:r>
        <w:rPr>
          <w:rFonts w:ascii="Verdana" w:hAnsi="Verdana"/>
          <w:b/>
          <w:sz w:val="52"/>
          <w:szCs w:val="52"/>
        </w:rPr>
        <w:t xml:space="preserve">       </w:t>
      </w:r>
      <w:r w:rsidRPr="0042718A">
        <w:rPr>
          <w:rFonts w:ascii="Verdana" w:hAnsi="Verdana"/>
          <w:b/>
          <w:sz w:val="52"/>
          <w:szCs w:val="52"/>
        </w:rPr>
        <w:t>BUDGETAIRES 20</w:t>
      </w:r>
      <w:r w:rsidR="00D7324A">
        <w:rPr>
          <w:rFonts w:ascii="Verdana" w:hAnsi="Verdana"/>
          <w:b/>
          <w:sz w:val="52"/>
          <w:szCs w:val="52"/>
        </w:rPr>
        <w:t>20</w:t>
      </w:r>
    </w:p>
    <w:p w14:paraId="7393A15C" w14:textId="77777777" w:rsidR="00E009E0" w:rsidRDefault="00E009E0" w:rsidP="00B115E7">
      <w:pPr>
        <w:ind w:left="851" w:right="-851"/>
        <w:rPr>
          <w:rFonts w:ascii="Verdana" w:hAnsi="Verdana"/>
          <w:b/>
          <w:sz w:val="28"/>
          <w:szCs w:val="28"/>
        </w:rPr>
      </w:pPr>
    </w:p>
    <w:p w14:paraId="01A239BE" w14:textId="77777777" w:rsidR="00E009E0" w:rsidRDefault="00E009E0" w:rsidP="00B115E7">
      <w:pPr>
        <w:ind w:left="851" w:right="-851"/>
        <w:rPr>
          <w:rFonts w:ascii="Verdana" w:hAnsi="Verdana"/>
          <w:b/>
          <w:sz w:val="28"/>
          <w:szCs w:val="28"/>
        </w:rPr>
      </w:pPr>
    </w:p>
    <w:sdt>
      <w:sdtPr>
        <w:rPr>
          <w:rFonts w:ascii="Verdana" w:hAnsi="Verdana"/>
          <w:b/>
          <w:sz w:val="28"/>
          <w:szCs w:val="28"/>
        </w:rPr>
        <w:id w:val="-1784333322"/>
        <w:docPartObj>
          <w:docPartGallery w:val="Cover Pages"/>
          <w:docPartUnique/>
        </w:docPartObj>
      </w:sdtPr>
      <w:sdtEndPr/>
      <w:sdtContent>
        <w:p w14:paraId="478DD01E" w14:textId="77777777" w:rsidR="0042718A" w:rsidRDefault="00B115E7" w:rsidP="00B115E7">
          <w:pPr>
            <w:ind w:left="851" w:right="-851"/>
            <w:rPr>
              <w:rFonts w:ascii="Verdana" w:hAnsi="Verdana"/>
              <w:b/>
              <w:sz w:val="28"/>
              <w:szCs w:val="28"/>
            </w:rPr>
          </w:pPr>
          <w:r>
            <w:rPr>
              <w:rFonts w:ascii="Verdana" w:hAnsi="Verdana"/>
              <w:b/>
              <w:sz w:val="28"/>
              <w:szCs w:val="28"/>
            </w:rPr>
            <w:t xml:space="preserve">                    </w:t>
          </w:r>
        </w:p>
        <w:p w14:paraId="02F0C5F9" w14:textId="77777777" w:rsidR="00093349" w:rsidRDefault="00093349" w:rsidP="00093349">
          <w:pPr>
            <w:ind w:right="-851"/>
            <w:rPr>
              <w:rFonts w:ascii="Verdana" w:hAnsi="Verdana"/>
              <w:b/>
              <w:sz w:val="28"/>
              <w:szCs w:val="28"/>
            </w:rPr>
          </w:pPr>
        </w:p>
        <w:p w14:paraId="74F01EFF" w14:textId="77777777" w:rsidR="00093349" w:rsidRDefault="00093349" w:rsidP="00093349">
          <w:pPr>
            <w:ind w:right="-851"/>
            <w:rPr>
              <w:rFonts w:ascii="Verdana" w:hAnsi="Verdana"/>
              <w:b/>
              <w:sz w:val="28"/>
              <w:szCs w:val="28"/>
            </w:rPr>
          </w:pPr>
        </w:p>
        <w:p w14:paraId="0BC7807B" w14:textId="77777777" w:rsidR="00093349" w:rsidRDefault="00093349" w:rsidP="00093349">
          <w:pPr>
            <w:ind w:right="-851"/>
            <w:rPr>
              <w:rFonts w:ascii="Verdana" w:hAnsi="Verdana"/>
              <w:b/>
              <w:sz w:val="28"/>
              <w:szCs w:val="28"/>
            </w:rPr>
          </w:pPr>
        </w:p>
        <w:p w14:paraId="752DC045" w14:textId="3AE20430" w:rsidR="00CD03C9" w:rsidRDefault="0042718A" w:rsidP="00093349">
          <w:pPr>
            <w:ind w:left="1416" w:right="-851"/>
            <w:rPr>
              <w:rFonts w:ascii="Verdana" w:hAnsi="Verdana"/>
              <w:b/>
              <w:sz w:val="28"/>
              <w:szCs w:val="28"/>
            </w:rPr>
          </w:pPr>
          <w:r>
            <w:rPr>
              <w:rFonts w:ascii="Verdana" w:hAnsi="Verdana"/>
              <w:b/>
              <w:sz w:val="28"/>
              <w:szCs w:val="28"/>
            </w:rPr>
            <w:t xml:space="preserve"> Conseil Municipal du 1</w:t>
          </w:r>
          <w:r w:rsidR="00D7324A">
            <w:rPr>
              <w:rFonts w:ascii="Verdana" w:hAnsi="Verdana"/>
              <w:b/>
              <w:sz w:val="28"/>
              <w:szCs w:val="28"/>
            </w:rPr>
            <w:t>7</w:t>
          </w:r>
          <w:r>
            <w:rPr>
              <w:rFonts w:ascii="Verdana" w:hAnsi="Verdana"/>
              <w:b/>
              <w:sz w:val="28"/>
              <w:szCs w:val="28"/>
            </w:rPr>
            <w:t xml:space="preserve"> Février 20</w:t>
          </w:r>
          <w:r w:rsidR="00D7324A">
            <w:rPr>
              <w:rFonts w:ascii="Verdana" w:hAnsi="Verdana"/>
              <w:b/>
              <w:sz w:val="28"/>
              <w:szCs w:val="28"/>
            </w:rPr>
            <w:t>20</w:t>
          </w:r>
          <w:r w:rsidR="00B115E7">
            <w:rPr>
              <w:rFonts w:ascii="Verdana" w:hAnsi="Verdana"/>
              <w:b/>
              <w:sz w:val="28"/>
              <w:szCs w:val="28"/>
            </w:rPr>
            <w:t xml:space="preserve">          </w:t>
          </w:r>
          <w:r w:rsidR="00FF00E3">
            <w:rPr>
              <w:rFonts w:ascii="Verdana" w:hAnsi="Verdana"/>
              <w:b/>
              <w:sz w:val="28"/>
              <w:szCs w:val="28"/>
            </w:rPr>
            <w:br w:type="page"/>
          </w:r>
        </w:p>
      </w:sdtContent>
    </w:sdt>
    <w:p w14:paraId="773603DC" w14:textId="70614555" w:rsidR="005B5705" w:rsidRDefault="00CD03C9" w:rsidP="00314473">
      <w:pPr>
        <w:ind w:left="851" w:right="-567"/>
        <w:jc w:val="center"/>
        <w:rPr>
          <w:rFonts w:ascii="Verdana" w:hAnsi="Verdana"/>
          <w:b/>
          <w:sz w:val="28"/>
          <w:szCs w:val="28"/>
        </w:rPr>
      </w:pPr>
      <w:r>
        <w:rPr>
          <w:rFonts w:ascii="Verdana" w:hAnsi="Verdana"/>
          <w:b/>
          <w:sz w:val="28"/>
          <w:szCs w:val="28"/>
        </w:rPr>
        <w:lastRenderedPageBreak/>
        <w:t>RAPPORT SUR L</w:t>
      </w:r>
      <w:r w:rsidR="006231C7">
        <w:rPr>
          <w:rFonts w:ascii="Verdana" w:hAnsi="Verdana"/>
          <w:b/>
          <w:sz w:val="28"/>
          <w:szCs w:val="28"/>
        </w:rPr>
        <w:t>ES ORIENTATIONS BUDGETAIRES 20</w:t>
      </w:r>
      <w:r w:rsidR="00D7324A">
        <w:rPr>
          <w:rFonts w:ascii="Verdana" w:hAnsi="Verdana"/>
          <w:b/>
          <w:sz w:val="28"/>
          <w:szCs w:val="28"/>
        </w:rPr>
        <w:t>20</w:t>
      </w:r>
    </w:p>
    <w:p w14:paraId="6E3F053B" w14:textId="77777777" w:rsidR="00FF00E3" w:rsidRPr="00FF00E3" w:rsidRDefault="00FF00E3" w:rsidP="00314473">
      <w:pPr>
        <w:pStyle w:val="ListParagraph"/>
        <w:ind w:left="851" w:right="-567"/>
        <w:jc w:val="both"/>
        <w:rPr>
          <w:rFonts w:ascii="Verdana" w:hAnsi="Verdana"/>
          <w:b/>
          <w:u w:val="single"/>
        </w:rPr>
      </w:pPr>
    </w:p>
    <w:p w14:paraId="02B8A172" w14:textId="77777777" w:rsidR="008E42D7" w:rsidRDefault="008E42D7" w:rsidP="008E42D7">
      <w:pPr>
        <w:pStyle w:val="ListParagraph"/>
        <w:ind w:left="851" w:right="-567"/>
        <w:jc w:val="both"/>
        <w:rPr>
          <w:rFonts w:ascii="Verdana" w:hAnsi="Verdana"/>
          <w:b/>
          <w:u w:val="single"/>
        </w:rPr>
      </w:pPr>
    </w:p>
    <w:p w14:paraId="00165362" w14:textId="77777777" w:rsidR="008E42D7" w:rsidRDefault="008E42D7" w:rsidP="008E42D7">
      <w:pPr>
        <w:pStyle w:val="ListParagraph"/>
        <w:ind w:left="851" w:right="-567"/>
        <w:jc w:val="both"/>
        <w:rPr>
          <w:rFonts w:ascii="Verdana" w:hAnsi="Verdana"/>
          <w:b/>
          <w:u w:val="single"/>
        </w:rPr>
      </w:pPr>
    </w:p>
    <w:p w14:paraId="73897639" w14:textId="336F9B26" w:rsidR="00A954E9" w:rsidRDefault="00FF00E3" w:rsidP="00314473">
      <w:pPr>
        <w:pStyle w:val="ListParagraph"/>
        <w:numPr>
          <w:ilvl w:val="0"/>
          <w:numId w:val="2"/>
        </w:numPr>
        <w:ind w:left="851" w:right="-567"/>
        <w:jc w:val="both"/>
        <w:rPr>
          <w:rFonts w:ascii="Verdana" w:hAnsi="Verdana"/>
          <w:b/>
          <w:u w:val="single"/>
        </w:rPr>
      </w:pPr>
      <w:r>
        <w:rPr>
          <w:rFonts w:ascii="Verdana" w:hAnsi="Verdana"/>
          <w:b/>
          <w:u w:val="single"/>
        </w:rPr>
        <w:t>LE CONTEXTE NATIONAL ET LE PROJET DE LOI DE</w:t>
      </w:r>
      <w:r w:rsidR="006231C7">
        <w:rPr>
          <w:rFonts w:ascii="Verdana" w:hAnsi="Verdana"/>
          <w:b/>
          <w:u w:val="single"/>
        </w:rPr>
        <w:t xml:space="preserve"> FINANCES 20</w:t>
      </w:r>
      <w:r w:rsidR="00D7324A">
        <w:rPr>
          <w:rFonts w:ascii="Verdana" w:hAnsi="Verdana"/>
          <w:b/>
          <w:u w:val="single"/>
        </w:rPr>
        <w:t>20</w:t>
      </w:r>
    </w:p>
    <w:p w14:paraId="5B9FD4B9" w14:textId="1DB0A7D5" w:rsidR="00412548" w:rsidRDefault="00412548" w:rsidP="00412548">
      <w:pPr>
        <w:pStyle w:val="ListParagraph"/>
        <w:ind w:left="851" w:right="-567"/>
        <w:jc w:val="both"/>
        <w:rPr>
          <w:rFonts w:ascii="Verdana" w:hAnsi="Verdana"/>
          <w:b/>
          <w:u w:val="single"/>
        </w:rPr>
      </w:pPr>
    </w:p>
    <w:p w14:paraId="1D235C11" w14:textId="1AABDA9E" w:rsidR="00412548" w:rsidRDefault="0001663D" w:rsidP="00BB6C75">
      <w:pPr>
        <w:pStyle w:val="ListParagraph"/>
        <w:ind w:left="851" w:right="-567"/>
        <w:jc w:val="both"/>
        <w:rPr>
          <w:rFonts w:ascii="Verdana" w:hAnsi="Verdana"/>
          <w:bCs/>
        </w:rPr>
      </w:pPr>
      <w:r>
        <w:rPr>
          <w:rFonts w:ascii="Verdana" w:hAnsi="Verdana"/>
          <w:bCs/>
        </w:rPr>
        <w:t>L’objectif de la loi de finances 2020 fixe toujours la diminution du déficit public et la remise à l’équilibre des comptes de l’Etat et de la sécurité Sociale. Les communes sont mises à contribution pour atteindre cet objectif.</w:t>
      </w:r>
    </w:p>
    <w:p w14:paraId="34EB0519" w14:textId="77777777" w:rsidR="00BB6C75" w:rsidRPr="00BB6C75" w:rsidRDefault="00BB6C75" w:rsidP="00BB6C75">
      <w:pPr>
        <w:pStyle w:val="NormalWeb"/>
        <w:ind w:left="851"/>
        <w:jc w:val="both"/>
        <w:rPr>
          <w:rFonts w:ascii="Verdana" w:hAnsi="Verdana"/>
          <w:sz w:val="22"/>
          <w:szCs w:val="22"/>
        </w:rPr>
      </w:pPr>
      <w:r w:rsidRPr="00BB6C75">
        <w:rPr>
          <w:rFonts w:ascii="Verdana" w:hAnsi="Verdana"/>
          <w:sz w:val="22"/>
          <w:szCs w:val="22"/>
        </w:rPr>
        <w:t>Le Projet de Loi de Finances présenté par le Gouvernement pour 2020 s’appuie sur une prévision de croissance de 1,3% (contre 1,4% prévu initialement).</w:t>
      </w:r>
    </w:p>
    <w:p w14:paraId="372F5491" w14:textId="77777777" w:rsidR="00BB6C75" w:rsidRPr="00BB6C75" w:rsidRDefault="00BB6C75" w:rsidP="00BB6C75">
      <w:pPr>
        <w:ind w:left="851"/>
        <w:jc w:val="both"/>
        <w:rPr>
          <w:rFonts w:ascii="Verdana" w:hAnsi="Verdana"/>
        </w:rPr>
      </w:pPr>
      <w:r w:rsidRPr="00BB6C75">
        <w:rPr>
          <w:rFonts w:ascii="Verdana" w:hAnsi="Verdana"/>
        </w:rPr>
        <w:t>Il prévoit de ramener le déficit public à 2,2% du PIB, en baisse de 20,4 Md€ par rapport à 2019 (3,1% du PIB). La dépense publique devrait augmenter de 0,7% en 2020. Elle doit passer à 53,4% du Produit Intérieur Brut (PIB), contre 53,8% attendu en 2019. Quant au taux de prélèvements obligatoires, il s’élèvera à 44,3% du PIB (contre 44,7% prévu en 2019). Enfin, pour 2020, le déficit budgétaire devrait atteindre 93,1 Md€.</w:t>
      </w:r>
    </w:p>
    <w:p w14:paraId="09DB88E9" w14:textId="39BD6F9D" w:rsidR="00412548" w:rsidRPr="00412548" w:rsidRDefault="00412548" w:rsidP="00BB6C75">
      <w:pPr>
        <w:ind w:left="851" w:right="-567"/>
        <w:jc w:val="both"/>
        <w:rPr>
          <w:rFonts w:ascii="Verdana" w:hAnsi="Verdana"/>
        </w:rPr>
      </w:pPr>
      <w:r>
        <w:rPr>
          <w:rFonts w:ascii="Verdana" w:hAnsi="Verdana"/>
        </w:rPr>
        <w:t>Par rapport au budget 2020 de l’Etat</w:t>
      </w:r>
      <w:r w:rsidRPr="00412548">
        <w:rPr>
          <w:rFonts w:ascii="Verdana" w:hAnsi="Verdana"/>
        </w:rPr>
        <w:t>, l’enjeu pour les collectivités tournera avant tout autour de la suppression totale de la taxe d’habitation entre 2021 et 2023</w:t>
      </w:r>
      <w:r>
        <w:rPr>
          <w:rFonts w:ascii="Verdana" w:hAnsi="Verdana"/>
        </w:rPr>
        <w:t xml:space="preserve">. </w:t>
      </w:r>
      <w:r w:rsidRPr="00412548">
        <w:rPr>
          <w:rFonts w:ascii="Verdana" w:hAnsi="Verdana"/>
        </w:rPr>
        <w:t>En effet, le gouvernement confirme dans le texte de loi que 80 % des foyers fiscaux ne paieront plus la taxe d’habitation en 2020. Pour les 20 % des ménages restants, l’allègement sera de 30 % en 2021, puis de 65 % en 2022. En 2023, plus aucun foyer ne paiera de taxe d’habitation sur sa résidence principale.</w:t>
      </w:r>
    </w:p>
    <w:p w14:paraId="329C896E" w14:textId="401E3099" w:rsidR="005265F1" w:rsidRPr="00412548" w:rsidRDefault="00412548" w:rsidP="00BB6C75">
      <w:pPr>
        <w:pStyle w:val="ListParagraph"/>
        <w:ind w:left="851" w:right="-567"/>
        <w:jc w:val="both"/>
        <w:rPr>
          <w:rFonts w:ascii="Verdana" w:hAnsi="Verdana"/>
          <w:b/>
          <w:u w:val="single"/>
        </w:rPr>
      </w:pPr>
      <w:r>
        <w:rPr>
          <w:rFonts w:ascii="Verdana" w:hAnsi="Verdana"/>
        </w:rPr>
        <w:t>A titre de compensation,</w:t>
      </w:r>
      <w:r w:rsidRPr="00412548">
        <w:rPr>
          <w:rFonts w:ascii="Verdana" w:hAnsi="Verdana"/>
        </w:rPr>
        <w:t xml:space="preserve"> la part départementale </w:t>
      </w:r>
      <w:r w:rsidR="009252B9">
        <w:rPr>
          <w:rFonts w:ascii="Verdana" w:hAnsi="Verdana"/>
        </w:rPr>
        <w:t xml:space="preserve">équivalente </w:t>
      </w:r>
      <w:r w:rsidRPr="00412548">
        <w:rPr>
          <w:rFonts w:ascii="Verdana" w:hAnsi="Verdana"/>
        </w:rPr>
        <w:t>de taxe foncière sur les propriétés bâties sera transférée aux communes. Pour les intercommunalités et les départements, les pertes de recettes de taxe d’habitation et de taxe foncière seront intégralement compensées par l’affectation d’une fraction de TVA, comme cela existe déjà pour les régions.</w:t>
      </w:r>
    </w:p>
    <w:p w14:paraId="3A511242" w14:textId="77777777" w:rsidR="005265F1" w:rsidRDefault="005265F1" w:rsidP="005265F1">
      <w:pPr>
        <w:pStyle w:val="ListParagraph"/>
        <w:ind w:left="851" w:right="-567"/>
        <w:jc w:val="both"/>
        <w:rPr>
          <w:rFonts w:ascii="Verdana" w:hAnsi="Verdana"/>
          <w:b/>
          <w:u w:val="single"/>
        </w:rPr>
      </w:pPr>
    </w:p>
    <w:p w14:paraId="53364AE3" w14:textId="77777777" w:rsidR="00A954E9" w:rsidRPr="0076148D" w:rsidRDefault="00FF00E3" w:rsidP="00314473">
      <w:pPr>
        <w:pStyle w:val="ListParagraph"/>
        <w:numPr>
          <w:ilvl w:val="0"/>
          <w:numId w:val="2"/>
        </w:numPr>
        <w:ind w:left="851" w:right="-567"/>
        <w:jc w:val="both"/>
        <w:rPr>
          <w:rFonts w:ascii="Verdana" w:hAnsi="Verdana"/>
          <w:b/>
          <w:u w:val="single"/>
        </w:rPr>
      </w:pPr>
      <w:r>
        <w:rPr>
          <w:rFonts w:ascii="Verdana" w:hAnsi="Verdana"/>
          <w:b/>
          <w:u w:val="single"/>
        </w:rPr>
        <w:t>LE CONTEXTE LOCAL</w:t>
      </w:r>
    </w:p>
    <w:p w14:paraId="68423CCC" w14:textId="00EC91C0" w:rsidR="00E12130" w:rsidRDefault="00045263" w:rsidP="00E12130">
      <w:pPr>
        <w:ind w:left="708" w:right="-567"/>
        <w:jc w:val="both"/>
        <w:rPr>
          <w:rFonts w:ascii="Verdana" w:hAnsi="Verdana"/>
        </w:rPr>
      </w:pPr>
      <w:r w:rsidRPr="00365812">
        <w:rPr>
          <w:rFonts w:ascii="Verdana" w:hAnsi="Verdana"/>
        </w:rPr>
        <w:t xml:space="preserve">Le contexte local </w:t>
      </w:r>
      <w:r w:rsidR="00BB6C75">
        <w:rPr>
          <w:rFonts w:ascii="Verdana" w:hAnsi="Verdana"/>
        </w:rPr>
        <w:t xml:space="preserve">et les finances de la commune de Jarrie nous amène encore en 2020 et sur les années suivantes à rechercher des niches d’économie de fonctionnement pour l’ensemble des services. Cela nous </w:t>
      </w:r>
      <w:r w:rsidRPr="00365812">
        <w:rPr>
          <w:rFonts w:ascii="Verdana" w:hAnsi="Verdana"/>
        </w:rPr>
        <w:t xml:space="preserve">incite à la recherche de mutualisations de services pour parvenir à réaliser à moyen terme </w:t>
      </w:r>
      <w:r w:rsidR="00BB6C75">
        <w:rPr>
          <w:rFonts w:ascii="Verdana" w:hAnsi="Verdana"/>
        </w:rPr>
        <w:t>ces</w:t>
      </w:r>
      <w:r w:rsidRPr="00365812">
        <w:rPr>
          <w:rFonts w:ascii="Verdana" w:hAnsi="Verdana"/>
        </w:rPr>
        <w:t xml:space="preserve"> économies de fonctionnement. Les communes de la Métropole privilégient les rapprochements locaux de proximité. Jarrie </w:t>
      </w:r>
      <w:r w:rsidR="00365812">
        <w:rPr>
          <w:rFonts w:ascii="Verdana" w:hAnsi="Verdana"/>
        </w:rPr>
        <w:t xml:space="preserve">a travaillé et </w:t>
      </w:r>
      <w:r w:rsidRPr="00365812">
        <w:rPr>
          <w:rFonts w:ascii="Verdana" w:hAnsi="Verdana"/>
        </w:rPr>
        <w:t>travaille</w:t>
      </w:r>
      <w:r w:rsidR="00365812">
        <w:rPr>
          <w:rFonts w:ascii="Verdana" w:hAnsi="Verdana"/>
        </w:rPr>
        <w:t xml:space="preserve"> de manière permanente</w:t>
      </w:r>
      <w:r w:rsidRPr="00365812">
        <w:rPr>
          <w:rFonts w:ascii="Verdana" w:hAnsi="Verdana"/>
        </w:rPr>
        <w:t xml:space="preserve"> avec d’autres communes sur le secteur du territoire Grand Su</w:t>
      </w:r>
      <w:r w:rsidR="008D0292" w:rsidRPr="00365812">
        <w:rPr>
          <w:rFonts w:ascii="Verdana" w:hAnsi="Verdana"/>
        </w:rPr>
        <w:t xml:space="preserve">d </w:t>
      </w:r>
      <w:r w:rsidR="00365812">
        <w:rPr>
          <w:rFonts w:ascii="Verdana" w:hAnsi="Verdana"/>
        </w:rPr>
        <w:t xml:space="preserve">sur plusieurs actions : </w:t>
      </w:r>
    </w:p>
    <w:p w14:paraId="7EDFA7E7" w14:textId="77777777" w:rsidR="00E12130" w:rsidRDefault="00E12130" w:rsidP="00E12130">
      <w:pPr>
        <w:pStyle w:val="ListParagraph"/>
        <w:numPr>
          <w:ilvl w:val="0"/>
          <w:numId w:val="12"/>
        </w:numPr>
        <w:ind w:right="-567"/>
        <w:jc w:val="both"/>
        <w:rPr>
          <w:rFonts w:ascii="Verdana" w:hAnsi="Verdana"/>
        </w:rPr>
      </w:pPr>
      <w:r>
        <w:rPr>
          <w:rFonts w:ascii="Verdana" w:hAnsi="Verdana"/>
        </w:rPr>
        <w:lastRenderedPageBreak/>
        <w:t>Des réalisations : U</w:t>
      </w:r>
      <w:r w:rsidR="008D0292" w:rsidRPr="00E12130">
        <w:rPr>
          <w:rFonts w:ascii="Verdana" w:hAnsi="Verdana"/>
        </w:rPr>
        <w:t xml:space="preserve">ne police pluri-communale, mutualisation du garage de la commune de Pont de Claix, mutualisation des achats informatiques avec la commune de Vif, mutualisation d’un </w:t>
      </w:r>
      <w:r w:rsidR="00365812" w:rsidRPr="00E12130">
        <w:rPr>
          <w:rFonts w:ascii="Verdana" w:hAnsi="Verdana"/>
        </w:rPr>
        <w:t xml:space="preserve">agent </w:t>
      </w:r>
      <w:r w:rsidR="008D0292" w:rsidRPr="00E12130">
        <w:rPr>
          <w:rFonts w:ascii="Verdana" w:hAnsi="Verdana"/>
        </w:rPr>
        <w:t>instructeur pour l’urbanisme avec</w:t>
      </w:r>
      <w:r w:rsidR="00365812" w:rsidRPr="00E12130">
        <w:rPr>
          <w:rFonts w:ascii="Verdana" w:hAnsi="Verdana"/>
        </w:rPr>
        <w:t xml:space="preserve"> la commune de Champagnier</w:t>
      </w:r>
      <w:r>
        <w:rPr>
          <w:rFonts w:ascii="Verdana" w:hAnsi="Verdana"/>
        </w:rPr>
        <w:t xml:space="preserve"> qui doit être renouvelé après le départ de la personne recrutée</w:t>
      </w:r>
      <w:r w:rsidR="00365812" w:rsidRPr="00E12130">
        <w:rPr>
          <w:rFonts w:ascii="Verdana" w:hAnsi="Verdana"/>
        </w:rPr>
        <w:t xml:space="preserve"> et recrutement</w:t>
      </w:r>
      <w:r>
        <w:rPr>
          <w:rFonts w:ascii="Verdana" w:hAnsi="Verdana"/>
        </w:rPr>
        <w:t xml:space="preserve"> </w:t>
      </w:r>
      <w:r w:rsidR="00365812" w:rsidRPr="00E12130">
        <w:rPr>
          <w:rFonts w:ascii="Verdana" w:hAnsi="Verdana"/>
        </w:rPr>
        <w:t xml:space="preserve">d’un technicien informaticien avec les communes de Brié et Champagnier. </w:t>
      </w:r>
    </w:p>
    <w:p w14:paraId="21CF86A6" w14:textId="77777777" w:rsidR="00E12130" w:rsidRPr="00E12130" w:rsidRDefault="00E12130" w:rsidP="00E12130">
      <w:pPr>
        <w:pStyle w:val="ListParagraph"/>
        <w:ind w:left="1068" w:right="-567"/>
        <w:jc w:val="both"/>
        <w:rPr>
          <w:rFonts w:ascii="Verdana" w:hAnsi="Verdana"/>
          <w:u w:val="single"/>
        </w:rPr>
      </w:pPr>
    </w:p>
    <w:p w14:paraId="70EC8574" w14:textId="16B43DDA" w:rsidR="00045263" w:rsidRPr="00E12130" w:rsidRDefault="00E12130" w:rsidP="00E12130">
      <w:pPr>
        <w:pStyle w:val="ListParagraph"/>
        <w:numPr>
          <w:ilvl w:val="0"/>
          <w:numId w:val="12"/>
        </w:numPr>
        <w:ind w:right="-567"/>
        <w:jc w:val="both"/>
        <w:rPr>
          <w:rFonts w:ascii="Verdana" w:hAnsi="Verdana"/>
          <w:u w:val="single"/>
        </w:rPr>
      </w:pPr>
      <w:r>
        <w:rPr>
          <w:rFonts w:ascii="Verdana" w:hAnsi="Verdana"/>
        </w:rPr>
        <w:t>E</w:t>
      </w:r>
      <w:r w:rsidR="00365812" w:rsidRPr="00E12130">
        <w:rPr>
          <w:rFonts w:ascii="Verdana" w:hAnsi="Verdana"/>
        </w:rPr>
        <w:t xml:space="preserve">n cours </w:t>
      </w:r>
      <w:r>
        <w:rPr>
          <w:rFonts w:ascii="Verdana" w:hAnsi="Verdana"/>
        </w:rPr>
        <w:t xml:space="preserve">de finalisation </w:t>
      </w:r>
      <w:r w:rsidR="00365812" w:rsidRPr="00E12130">
        <w:rPr>
          <w:rFonts w:ascii="Verdana" w:hAnsi="Verdana"/>
        </w:rPr>
        <w:t xml:space="preserve">un </w:t>
      </w:r>
      <w:r>
        <w:rPr>
          <w:rFonts w:ascii="Verdana" w:hAnsi="Verdana"/>
        </w:rPr>
        <w:t>groupement de commande</w:t>
      </w:r>
      <w:r w:rsidR="00365812" w:rsidRPr="00E12130">
        <w:rPr>
          <w:rFonts w:ascii="Verdana" w:hAnsi="Verdana"/>
        </w:rPr>
        <w:t xml:space="preserve"> avec </w:t>
      </w:r>
      <w:r>
        <w:rPr>
          <w:rFonts w:ascii="Verdana" w:hAnsi="Verdana"/>
        </w:rPr>
        <w:t>la Métropole, la ville de Grenoble, le CCAS de Grenoble et la ville de Vif pour l’achat de fournitures de bureau et d’autres groupement d’achat à venir avec la Métropole (produits d’entretien, papier photocopie etc…).</w:t>
      </w:r>
    </w:p>
    <w:p w14:paraId="7843F031" w14:textId="77777777" w:rsidR="00E12130" w:rsidRPr="00E12130" w:rsidRDefault="00E12130" w:rsidP="00E12130">
      <w:pPr>
        <w:pStyle w:val="ListParagraph"/>
        <w:ind w:left="851" w:right="-567"/>
        <w:jc w:val="both"/>
        <w:rPr>
          <w:rFonts w:ascii="Verdana" w:hAnsi="Verdana"/>
          <w:u w:val="single"/>
        </w:rPr>
      </w:pPr>
    </w:p>
    <w:p w14:paraId="6BB13A71" w14:textId="77777777" w:rsidR="003C3C67" w:rsidRPr="003C3C67" w:rsidRDefault="003C3C67" w:rsidP="003C3C67">
      <w:pPr>
        <w:pStyle w:val="ListParagraph"/>
        <w:ind w:left="851" w:right="-567"/>
        <w:jc w:val="both"/>
        <w:rPr>
          <w:rFonts w:ascii="Verdana" w:hAnsi="Verdana"/>
          <w:u w:val="single"/>
        </w:rPr>
      </w:pPr>
    </w:p>
    <w:p w14:paraId="3CC8A4A8" w14:textId="40BE9D9C" w:rsidR="00A954E9" w:rsidRPr="00045263" w:rsidRDefault="00FF00E3" w:rsidP="00314473">
      <w:pPr>
        <w:pStyle w:val="ListParagraph"/>
        <w:numPr>
          <w:ilvl w:val="0"/>
          <w:numId w:val="2"/>
        </w:numPr>
        <w:ind w:left="851" w:right="-567"/>
        <w:jc w:val="both"/>
        <w:rPr>
          <w:rFonts w:ascii="Verdana" w:hAnsi="Verdana"/>
          <w:u w:val="single"/>
        </w:rPr>
      </w:pPr>
      <w:r>
        <w:rPr>
          <w:rFonts w:ascii="Verdana" w:hAnsi="Verdana"/>
          <w:b/>
          <w:u w:val="single"/>
        </w:rPr>
        <w:t>LA SITUATION DE LA COMMUNE DE JARRIE</w:t>
      </w:r>
    </w:p>
    <w:p w14:paraId="7861A20F" w14:textId="77777777" w:rsidR="00B11B2F" w:rsidRDefault="00B11B2F" w:rsidP="00314473">
      <w:pPr>
        <w:pStyle w:val="ListParagraph"/>
        <w:ind w:left="851" w:right="-567"/>
        <w:jc w:val="both"/>
        <w:rPr>
          <w:rFonts w:ascii="Verdana" w:hAnsi="Verdana"/>
        </w:rPr>
      </w:pPr>
    </w:p>
    <w:p w14:paraId="4C569C88" w14:textId="77777777" w:rsidR="00E12130" w:rsidRDefault="00040C85" w:rsidP="00314473">
      <w:pPr>
        <w:pStyle w:val="ListParagraph"/>
        <w:ind w:left="851" w:right="-567"/>
        <w:jc w:val="both"/>
        <w:rPr>
          <w:rFonts w:ascii="Verdana" w:hAnsi="Verdana"/>
        </w:rPr>
      </w:pPr>
      <w:r>
        <w:rPr>
          <w:rFonts w:ascii="Verdana" w:hAnsi="Verdana"/>
        </w:rPr>
        <w:t xml:space="preserve">La </w:t>
      </w:r>
      <w:r w:rsidR="00045263">
        <w:rPr>
          <w:rFonts w:ascii="Verdana" w:hAnsi="Verdana"/>
        </w:rPr>
        <w:t>commune de Jarrie garde</w:t>
      </w:r>
      <w:r w:rsidR="00E12130">
        <w:rPr>
          <w:rFonts w:ascii="Verdana" w:hAnsi="Verdana"/>
        </w:rPr>
        <w:t xml:space="preserve"> </w:t>
      </w:r>
      <w:r>
        <w:rPr>
          <w:rFonts w:ascii="Verdana" w:hAnsi="Verdana"/>
        </w:rPr>
        <w:t xml:space="preserve">des marges de manœuvre, </w:t>
      </w:r>
      <w:r w:rsidR="00045263">
        <w:rPr>
          <w:rFonts w:ascii="Verdana" w:hAnsi="Verdana"/>
        </w:rPr>
        <w:t xml:space="preserve">grâce à un double travail de maîtrise de son fonctionnement et de baisse de son niveau d’investissement, lui permettant </w:t>
      </w:r>
      <w:r>
        <w:rPr>
          <w:rFonts w:ascii="Verdana" w:hAnsi="Verdana"/>
        </w:rPr>
        <w:t xml:space="preserve">de réaliser </w:t>
      </w:r>
      <w:r w:rsidR="00E12130">
        <w:rPr>
          <w:rFonts w:ascii="Verdana" w:hAnsi="Verdana"/>
        </w:rPr>
        <w:t xml:space="preserve">en 2019 </w:t>
      </w:r>
      <w:r>
        <w:rPr>
          <w:rFonts w:ascii="Verdana" w:hAnsi="Verdana"/>
        </w:rPr>
        <w:t>un résultat annuel positif sur le budget de fonctionnement et par là de maintenir une capacité d’autofinancement intéressante</w:t>
      </w:r>
      <w:r w:rsidR="00E12130">
        <w:rPr>
          <w:rFonts w:ascii="Verdana" w:hAnsi="Verdana"/>
        </w:rPr>
        <w:t xml:space="preserve"> si on y ajoute le FCTVA et les subventions des collectivités partenaires</w:t>
      </w:r>
      <w:r>
        <w:rPr>
          <w:rFonts w:ascii="Verdana" w:hAnsi="Verdana"/>
        </w:rPr>
        <w:t>.</w:t>
      </w:r>
      <w:r w:rsidR="00045263">
        <w:rPr>
          <w:rFonts w:ascii="Verdana" w:hAnsi="Verdana"/>
        </w:rPr>
        <w:t xml:space="preserve"> </w:t>
      </w:r>
    </w:p>
    <w:p w14:paraId="2C2DD581" w14:textId="77777777" w:rsidR="00E12130" w:rsidRDefault="00E12130" w:rsidP="00314473">
      <w:pPr>
        <w:pStyle w:val="ListParagraph"/>
        <w:ind w:left="851" w:right="-567"/>
        <w:jc w:val="both"/>
        <w:rPr>
          <w:rFonts w:ascii="Verdana" w:hAnsi="Verdana"/>
        </w:rPr>
      </w:pPr>
    </w:p>
    <w:p w14:paraId="54932244" w14:textId="31BFF52F" w:rsidR="00040C85" w:rsidRDefault="00045263" w:rsidP="00314473">
      <w:pPr>
        <w:pStyle w:val="ListParagraph"/>
        <w:ind w:left="851" w:right="-567"/>
        <w:jc w:val="both"/>
        <w:rPr>
          <w:rFonts w:ascii="Verdana" w:hAnsi="Verdana"/>
        </w:rPr>
      </w:pPr>
      <w:r>
        <w:rPr>
          <w:rFonts w:ascii="Verdana" w:hAnsi="Verdana"/>
        </w:rPr>
        <w:t>Ce travail se décline</w:t>
      </w:r>
      <w:r w:rsidR="004D2788">
        <w:rPr>
          <w:rFonts w:ascii="Verdana" w:hAnsi="Verdana"/>
        </w:rPr>
        <w:t xml:space="preserve"> à travers :</w:t>
      </w:r>
    </w:p>
    <w:p w14:paraId="2B967E9E" w14:textId="54558294" w:rsidR="00AF3AF7" w:rsidRDefault="004D2788" w:rsidP="009D1BC5">
      <w:pPr>
        <w:pStyle w:val="ListParagraph"/>
        <w:numPr>
          <w:ilvl w:val="0"/>
          <w:numId w:val="3"/>
        </w:numPr>
        <w:ind w:left="1134" w:right="-567"/>
        <w:jc w:val="both"/>
        <w:rPr>
          <w:rFonts w:ascii="Verdana" w:hAnsi="Verdana"/>
        </w:rPr>
      </w:pPr>
      <w:r w:rsidRPr="00AF3AF7">
        <w:rPr>
          <w:rFonts w:ascii="Verdana" w:hAnsi="Verdana"/>
        </w:rPr>
        <w:t xml:space="preserve">Une maîtrise des charges </w:t>
      </w:r>
      <w:r w:rsidR="00AF3AF7" w:rsidRPr="00AF3AF7">
        <w:rPr>
          <w:rFonts w:ascii="Verdana" w:hAnsi="Verdana"/>
        </w:rPr>
        <w:t>qui se poursuit d’année en année même si elle devient plus délicate avec le temps comme le montrent les résultats de l’exercice 2017</w:t>
      </w:r>
      <w:r w:rsidR="00365812">
        <w:rPr>
          <w:rFonts w:ascii="Verdana" w:hAnsi="Verdana"/>
        </w:rPr>
        <w:t xml:space="preserve"> et encore davantage celui de 2018</w:t>
      </w:r>
      <w:r w:rsidR="00AF3AF7" w:rsidRPr="00AF3AF7">
        <w:rPr>
          <w:rFonts w:ascii="Verdana" w:hAnsi="Verdana"/>
        </w:rPr>
        <w:t xml:space="preserve">. </w:t>
      </w:r>
      <w:r w:rsidR="00AF3AF7">
        <w:rPr>
          <w:rFonts w:ascii="Verdana" w:hAnsi="Verdana"/>
        </w:rPr>
        <w:t xml:space="preserve">La recherche d’économies reste néanmoins une priorité absolue </w:t>
      </w:r>
      <w:r w:rsidR="00365812">
        <w:rPr>
          <w:rFonts w:ascii="Verdana" w:hAnsi="Verdana"/>
        </w:rPr>
        <w:t xml:space="preserve">dans les deux ans à venir </w:t>
      </w:r>
      <w:r w:rsidR="00AF3AF7">
        <w:rPr>
          <w:rFonts w:ascii="Verdana" w:hAnsi="Verdana"/>
        </w:rPr>
        <w:t xml:space="preserve">avec l’objectif de garder le bon niveau de service actuel. </w:t>
      </w:r>
      <w:r w:rsidR="00E12130">
        <w:rPr>
          <w:rFonts w:ascii="Verdana" w:hAnsi="Verdana"/>
        </w:rPr>
        <w:t xml:space="preserve">Pour ce faire Le Maire a lancé avec le DGS un Plan Pluriannuel de Fonctionnement (PPF) qui vise à </w:t>
      </w:r>
      <w:r w:rsidR="003C3C67">
        <w:rPr>
          <w:rFonts w:ascii="Verdana" w:hAnsi="Verdana"/>
        </w:rPr>
        <w:t>retrouver à horizon 2022 une CAF nette cible de 300 000 euros.</w:t>
      </w:r>
    </w:p>
    <w:p w14:paraId="6F7F463F" w14:textId="0E7C5FCD" w:rsidR="003C3C67" w:rsidRDefault="003C3C67" w:rsidP="003C3C67">
      <w:pPr>
        <w:pStyle w:val="ListParagraph"/>
        <w:ind w:left="1134" w:right="-567"/>
        <w:jc w:val="both"/>
        <w:rPr>
          <w:rFonts w:ascii="Verdana" w:hAnsi="Verdana"/>
        </w:rPr>
      </w:pPr>
      <w:r>
        <w:rPr>
          <w:rFonts w:ascii="Verdana" w:hAnsi="Verdana"/>
        </w:rPr>
        <w:t>Cet objectif passe par une réduction des dépenses réelles de fonctionnement sur les exercices 2020, 2021 et 2022. Cette réduction s’est déjà opérée sur l’exercice 2019.</w:t>
      </w:r>
    </w:p>
    <w:p w14:paraId="47844D2A" w14:textId="77777777" w:rsidR="005D244D" w:rsidRDefault="005D244D" w:rsidP="005D244D">
      <w:pPr>
        <w:pStyle w:val="ListParagraph"/>
        <w:ind w:left="1134" w:right="-567"/>
        <w:jc w:val="both"/>
        <w:rPr>
          <w:rFonts w:ascii="Verdana" w:hAnsi="Verdana"/>
        </w:rPr>
      </w:pPr>
    </w:p>
    <w:p w14:paraId="39910EF6" w14:textId="51CB0C42" w:rsidR="004D2788" w:rsidRPr="00AF3AF7" w:rsidRDefault="004D2788" w:rsidP="009D1BC5">
      <w:pPr>
        <w:pStyle w:val="ListParagraph"/>
        <w:numPr>
          <w:ilvl w:val="0"/>
          <w:numId w:val="3"/>
        </w:numPr>
        <w:ind w:left="1134" w:right="-567"/>
        <w:jc w:val="both"/>
        <w:rPr>
          <w:rFonts w:ascii="Verdana" w:hAnsi="Verdana"/>
        </w:rPr>
      </w:pPr>
      <w:r w:rsidRPr="00AF3AF7">
        <w:rPr>
          <w:rFonts w:ascii="Verdana" w:hAnsi="Verdana"/>
        </w:rPr>
        <w:t>La rationalisation du foncti</w:t>
      </w:r>
      <w:r w:rsidR="00AF3AF7">
        <w:rPr>
          <w:rFonts w:ascii="Verdana" w:hAnsi="Verdana"/>
        </w:rPr>
        <w:t>onnement des services permet de stabiliser la masse salariale malgré là encore des augmentations mécaniques liées à la règlementation et aux modifications statutaires du personnel</w:t>
      </w:r>
      <w:r w:rsidR="00045263" w:rsidRPr="00AF3AF7">
        <w:rPr>
          <w:rFonts w:ascii="Verdana" w:hAnsi="Verdana"/>
        </w:rPr>
        <w:t>.</w:t>
      </w:r>
      <w:r w:rsidR="00B85477">
        <w:rPr>
          <w:rFonts w:ascii="Verdana" w:hAnsi="Verdana"/>
        </w:rPr>
        <w:t xml:space="preserve"> De plus des</w:t>
      </w:r>
      <w:r w:rsidR="003C3C67">
        <w:rPr>
          <w:rFonts w:ascii="Verdana" w:hAnsi="Verdana"/>
        </w:rPr>
        <w:t xml:space="preserve"> missions réinternalisées telles que </w:t>
      </w:r>
      <w:r w:rsidR="00B85477">
        <w:rPr>
          <w:rFonts w:ascii="Verdana" w:hAnsi="Verdana"/>
        </w:rPr>
        <w:t>le</w:t>
      </w:r>
      <w:r w:rsidR="003C3C67">
        <w:rPr>
          <w:rFonts w:ascii="Verdana" w:hAnsi="Verdana"/>
        </w:rPr>
        <w:t xml:space="preserve"> recrutement du</w:t>
      </w:r>
      <w:r w:rsidR="00B85477">
        <w:rPr>
          <w:rFonts w:ascii="Verdana" w:hAnsi="Verdana"/>
        </w:rPr>
        <w:t xml:space="preserve"> technicien informaticien</w:t>
      </w:r>
      <w:r w:rsidR="003C3C67">
        <w:rPr>
          <w:rFonts w:ascii="Verdana" w:hAnsi="Verdana"/>
        </w:rPr>
        <w:t xml:space="preserve"> et d’un agent instructeur du droit des sols,</w:t>
      </w:r>
      <w:r w:rsidR="00B85477">
        <w:rPr>
          <w:rFonts w:ascii="Verdana" w:hAnsi="Verdana"/>
        </w:rPr>
        <w:t xml:space="preserve"> permettent des économies de fonctionnement par rapport aux contrats des prestataires : ALMA pour l’informatique, la convention Métro pour l’instruction urba. Si ces recrutements chargent le budget du personnel, ils permettent de réduire les charges générales. Comme cette organisation est récente, nous ne pouvons pas encore précisément chiffrer ce</w:t>
      </w:r>
      <w:r w:rsidR="008531C3">
        <w:rPr>
          <w:rFonts w:ascii="Verdana" w:hAnsi="Verdana"/>
        </w:rPr>
        <w:t xml:space="preserve"> gain pour le vote du budget, mais ce </w:t>
      </w:r>
      <w:r w:rsidR="008531C3">
        <w:rPr>
          <w:rFonts w:ascii="Verdana" w:hAnsi="Verdana"/>
        </w:rPr>
        <w:lastRenderedPageBreak/>
        <w:t>gain se fera tout au long de l’année et se retrouvera au compte administratif de la commune en juin 20</w:t>
      </w:r>
      <w:r w:rsidR="003C3C67">
        <w:rPr>
          <w:rFonts w:ascii="Verdana" w:hAnsi="Verdana"/>
        </w:rPr>
        <w:t>20</w:t>
      </w:r>
      <w:r w:rsidR="008531C3">
        <w:rPr>
          <w:rFonts w:ascii="Verdana" w:hAnsi="Verdana"/>
        </w:rPr>
        <w:t>.</w:t>
      </w:r>
    </w:p>
    <w:p w14:paraId="0CF7D0E2" w14:textId="77777777" w:rsidR="005D244D" w:rsidRDefault="005D244D" w:rsidP="005D244D">
      <w:pPr>
        <w:pStyle w:val="ListParagraph"/>
        <w:ind w:left="1134" w:right="-567"/>
        <w:jc w:val="both"/>
        <w:rPr>
          <w:rFonts w:ascii="Verdana" w:hAnsi="Verdana"/>
        </w:rPr>
      </w:pPr>
    </w:p>
    <w:p w14:paraId="1A151597" w14:textId="052BFA2D" w:rsidR="002C43E9" w:rsidRDefault="002C43E9" w:rsidP="009D1BC5">
      <w:pPr>
        <w:pStyle w:val="ListParagraph"/>
        <w:numPr>
          <w:ilvl w:val="0"/>
          <w:numId w:val="3"/>
        </w:numPr>
        <w:ind w:left="1134" w:right="-567"/>
        <w:jc w:val="both"/>
        <w:rPr>
          <w:rFonts w:ascii="Verdana" w:hAnsi="Verdana"/>
        </w:rPr>
      </w:pPr>
      <w:r>
        <w:rPr>
          <w:rFonts w:ascii="Verdana" w:hAnsi="Verdana"/>
        </w:rPr>
        <w:t>Une réduction régulière de la dette par la maîtrise de la politique d’investissement</w:t>
      </w:r>
      <w:r w:rsidR="00AF3AF7">
        <w:rPr>
          <w:rFonts w:ascii="Verdana" w:hAnsi="Verdana"/>
        </w:rPr>
        <w:t xml:space="preserve"> tout en gardant une capacité à rénover nos équipements publics</w:t>
      </w:r>
      <w:r w:rsidR="003C3C67">
        <w:rPr>
          <w:rFonts w:ascii="Verdana" w:hAnsi="Verdana"/>
        </w:rPr>
        <w:t xml:space="preserve"> (rénovation énergétique des bâtiments publics)</w:t>
      </w:r>
      <w:r w:rsidR="00AF3AF7">
        <w:rPr>
          <w:rFonts w:ascii="Verdana" w:hAnsi="Verdana"/>
        </w:rPr>
        <w:t xml:space="preserve">, à répondre aux </w:t>
      </w:r>
      <w:r w:rsidR="008531C3">
        <w:rPr>
          <w:rFonts w:ascii="Verdana" w:hAnsi="Verdana"/>
        </w:rPr>
        <w:t>besoins supplémentaire</w:t>
      </w:r>
      <w:r w:rsidR="003C3C67">
        <w:rPr>
          <w:rFonts w:ascii="Verdana" w:hAnsi="Verdana"/>
        </w:rPr>
        <w:t>s</w:t>
      </w:r>
      <w:r w:rsidR="00AF3AF7">
        <w:rPr>
          <w:rFonts w:ascii="Verdana" w:hAnsi="Verdana"/>
        </w:rPr>
        <w:t xml:space="preserve"> </w:t>
      </w:r>
      <w:r w:rsidR="003C3C67">
        <w:rPr>
          <w:rFonts w:ascii="Verdana" w:hAnsi="Verdana"/>
        </w:rPr>
        <w:t xml:space="preserve">(cantine du Louvarou et espace Paul Bernard) </w:t>
      </w:r>
      <w:r w:rsidR="00AF3AF7">
        <w:rPr>
          <w:rFonts w:ascii="Verdana" w:hAnsi="Verdana"/>
        </w:rPr>
        <w:t xml:space="preserve">et même au développement de l’intérêt de </w:t>
      </w:r>
      <w:r w:rsidR="003C3C67">
        <w:rPr>
          <w:rFonts w:ascii="Verdana" w:hAnsi="Verdana"/>
        </w:rPr>
        <w:t xml:space="preserve">patrimoine et de </w:t>
      </w:r>
      <w:r w:rsidR="00AF3AF7">
        <w:rPr>
          <w:rFonts w:ascii="Verdana" w:hAnsi="Verdana"/>
        </w:rPr>
        <w:t>notre territoire comme le montre le projet de Bon Repos.</w:t>
      </w:r>
    </w:p>
    <w:p w14:paraId="35EA1121" w14:textId="77777777" w:rsidR="005D244D" w:rsidRDefault="005D244D" w:rsidP="005D244D">
      <w:pPr>
        <w:pStyle w:val="ListParagraph"/>
        <w:ind w:left="1134" w:right="-567"/>
        <w:jc w:val="both"/>
        <w:rPr>
          <w:rFonts w:ascii="Verdana" w:hAnsi="Verdana"/>
        </w:rPr>
      </w:pPr>
    </w:p>
    <w:p w14:paraId="6F9FFF91" w14:textId="7AE785DE" w:rsidR="00045263" w:rsidRDefault="00045263" w:rsidP="009D1BC5">
      <w:pPr>
        <w:pStyle w:val="ListParagraph"/>
        <w:numPr>
          <w:ilvl w:val="0"/>
          <w:numId w:val="3"/>
        </w:numPr>
        <w:ind w:left="1134" w:right="-567"/>
        <w:jc w:val="both"/>
        <w:rPr>
          <w:rFonts w:ascii="Verdana" w:hAnsi="Verdana"/>
        </w:rPr>
      </w:pPr>
      <w:r>
        <w:rPr>
          <w:rFonts w:ascii="Verdana" w:hAnsi="Verdana"/>
        </w:rPr>
        <w:t xml:space="preserve">Et aujourd’hui </w:t>
      </w:r>
      <w:r w:rsidR="00AF3AF7">
        <w:rPr>
          <w:rFonts w:ascii="Verdana" w:hAnsi="Verdana"/>
        </w:rPr>
        <w:t>la poursuite du</w:t>
      </w:r>
      <w:r>
        <w:rPr>
          <w:rFonts w:ascii="Verdana" w:hAnsi="Verdana"/>
        </w:rPr>
        <w:t xml:space="preserve"> travail de mutualisation de services et d</w:t>
      </w:r>
      <w:r w:rsidR="00AF3AF7">
        <w:rPr>
          <w:rFonts w:ascii="Verdana" w:hAnsi="Verdana"/>
        </w:rPr>
        <w:t xml:space="preserve">e moyens avec d’autres communes </w:t>
      </w:r>
      <w:r w:rsidR="003C3C67">
        <w:rPr>
          <w:rFonts w:ascii="Verdana" w:hAnsi="Verdana"/>
        </w:rPr>
        <w:t>et</w:t>
      </w:r>
      <w:r w:rsidR="00AF3AF7">
        <w:rPr>
          <w:rFonts w:ascii="Verdana" w:hAnsi="Verdana"/>
        </w:rPr>
        <w:t xml:space="preserve"> la Métropole.</w:t>
      </w:r>
    </w:p>
    <w:p w14:paraId="681C630C" w14:textId="77777777" w:rsidR="00347AD6" w:rsidRDefault="00347AD6" w:rsidP="00314473">
      <w:pPr>
        <w:pStyle w:val="ListParagraph"/>
        <w:ind w:left="851" w:right="-567"/>
        <w:jc w:val="both"/>
        <w:rPr>
          <w:rFonts w:ascii="Verdana" w:hAnsi="Verdana"/>
          <w:b/>
        </w:rPr>
      </w:pPr>
    </w:p>
    <w:p w14:paraId="114F390A" w14:textId="77777777" w:rsidR="003C3C67" w:rsidRDefault="003C3C67" w:rsidP="003C3C67">
      <w:pPr>
        <w:pStyle w:val="ListParagraph"/>
        <w:ind w:left="1429" w:right="-567"/>
        <w:jc w:val="both"/>
        <w:rPr>
          <w:rFonts w:ascii="Verdana" w:hAnsi="Verdana"/>
          <w:b/>
          <w:u w:val="single"/>
        </w:rPr>
      </w:pPr>
    </w:p>
    <w:p w14:paraId="581776FC" w14:textId="388F6199" w:rsidR="00045263" w:rsidRPr="003C3C67" w:rsidRDefault="008531C3" w:rsidP="003C3C67">
      <w:pPr>
        <w:pStyle w:val="ListParagraph"/>
        <w:numPr>
          <w:ilvl w:val="0"/>
          <w:numId w:val="2"/>
        </w:numPr>
        <w:ind w:right="-567"/>
        <w:jc w:val="both"/>
        <w:rPr>
          <w:rFonts w:ascii="Verdana" w:hAnsi="Verdana"/>
          <w:b/>
          <w:u w:val="single"/>
        </w:rPr>
      </w:pPr>
      <w:r w:rsidRPr="003C3C67">
        <w:rPr>
          <w:rFonts w:ascii="Verdana" w:hAnsi="Verdana"/>
          <w:b/>
          <w:u w:val="single"/>
        </w:rPr>
        <w:t>LES RESULTATS 20</w:t>
      </w:r>
      <w:r w:rsidR="00694553">
        <w:rPr>
          <w:rFonts w:ascii="Verdana" w:hAnsi="Verdana"/>
          <w:b/>
          <w:u w:val="single"/>
        </w:rPr>
        <w:t>19</w:t>
      </w:r>
    </w:p>
    <w:p w14:paraId="173C86DA" w14:textId="7B7CBED6" w:rsidR="00347AD6" w:rsidRPr="00944DB8" w:rsidRDefault="00347AD6" w:rsidP="00314473">
      <w:pPr>
        <w:ind w:left="851" w:right="-567"/>
        <w:jc w:val="both"/>
        <w:rPr>
          <w:rFonts w:ascii="Verdana" w:hAnsi="Verdana"/>
        </w:rPr>
      </w:pPr>
      <w:r w:rsidRPr="00944DB8">
        <w:rPr>
          <w:rFonts w:ascii="Verdana" w:hAnsi="Verdana"/>
        </w:rPr>
        <w:t xml:space="preserve">Le budget de fonctionnement présente encore cette année </w:t>
      </w:r>
      <w:r w:rsidR="00BE2137">
        <w:rPr>
          <w:rFonts w:ascii="Verdana" w:hAnsi="Verdana"/>
        </w:rPr>
        <w:t xml:space="preserve">un résultat positif </w:t>
      </w:r>
      <w:r w:rsidR="00535EBD">
        <w:rPr>
          <w:rFonts w:ascii="Verdana" w:hAnsi="Verdana"/>
        </w:rPr>
        <w:t xml:space="preserve">sans vente extraordinaire </w:t>
      </w:r>
      <w:r w:rsidR="00BE2137">
        <w:rPr>
          <w:rFonts w:ascii="Verdana" w:hAnsi="Verdana"/>
        </w:rPr>
        <w:t>par rapport à l’année précédente</w:t>
      </w:r>
      <w:r w:rsidR="00535EBD">
        <w:rPr>
          <w:rFonts w:ascii="Verdana" w:hAnsi="Verdana"/>
        </w:rPr>
        <w:t>. C’est donc un VRAI résultat excédentaire</w:t>
      </w:r>
      <w:r w:rsidR="007B4C2C" w:rsidRPr="00944DB8">
        <w:rPr>
          <w:rFonts w:ascii="Verdana" w:hAnsi="Verdana"/>
        </w:rPr>
        <w:t> :</w:t>
      </w:r>
    </w:p>
    <w:p w14:paraId="080E22DB" w14:textId="2A176C2F" w:rsidR="007B4C2C" w:rsidRDefault="00B85477" w:rsidP="00314473">
      <w:pPr>
        <w:pStyle w:val="ListParagraph"/>
        <w:ind w:left="851" w:right="-567"/>
        <w:jc w:val="both"/>
        <w:rPr>
          <w:rFonts w:ascii="Verdana" w:hAnsi="Verdana"/>
          <w:b/>
        </w:rPr>
      </w:pPr>
      <w:r>
        <w:rPr>
          <w:rFonts w:ascii="Verdana" w:hAnsi="Verdana"/>
        </w:rPr>
        <w:t>Résultat 201</w:t>
      </w:r>
      <w:r w:rsidR="006B1CDD">
        <w:rPr>
          <w:rFonts w:ascii="Verdana" w:hAnsi="Verdana"/>
        </w:rPr>
        <w:t>9</w:t>
      </w:r>
      <w:r w:rsidR="007B4C2C">
        <w:rPr>
          <w:rFonts w:ascii="Verdana" w:hAnsi="Verdana"/>
        </w:rPr>
        <w:t xml:space="preserve"> </w:t>
      </w:r>
      <w:r w:rsidR="007B4C2C">
        <w:rPr>
          <w:rFonts w:ascii="Verdana" w:hAnsi="Verdana"/>
        </w:rPr>
        <w:tab/>
      </w:r>
      <w:r w:rsidR="007B4C2C">
        <w:rPr>
          <w:rFonts w:ascii="Verdana" w:hAnsi="Verdana"/>
        </w:rPr>
        <w:tab/>
      </w:r>
      <w:r w:rsidR="007B4C2C">
        <w:rPr>
          <w:rFonts w:ascii="Verdana" w:hAnsi="Verdana"/>
        </w:rPr>
        <w:tab/>
        <w:t xml:space="preserve">=  </w:t>
      </w:r>
      <w:r w:rsidR="00535EBD">
        <w:rPr>
          <w:rFonts w:ascii="Verdana" w:hAnsi="Verdana"/>
        </w:rPr>
        <w:t xml:space="preserve">    41 103,34 €</w:t>
      </w:r>
      <w:r w:rsidR="007B4C2C">
        <w:rPr>
          <w:rFonts w:ascii="Verdana" w:hAnsi="Verdana"/>
        </w:rPr>
        <w:t xml:space="preserve">  </w:t>
      </w:r>
    </w:p>
    <w:p w14:paraId="215BCDE1" w14:textId="7912BC7D" w:rsidR="007B4C2C" w:rsidRDefault="00DB75E2" w:rsidP="00314473">
      <w:pPr>
        <w:pStyle w:val="ListParagraph"/>
        <w:ind w:left="851" w:right="-567"/>
        <w:jc w:val="both"/>
        <w:rPr>
          <w:rFonts w:ascii="Verdana" w:hAnsi="Verdana"/>
        </w:rPr>
      </w:pPr>
      <w:r>
        <w:rPr>
          <w:rFonts w:ascii="Verdana" w:hAnsi="Verdana"/>
        </w:rPr>
        <w:t>Excédent 201</w:t>
      </w:r>
      <w:r w:rsidR="006B1CDD">
        <w:rPr>
          <w:rFonts w:ascii="Verdana" w:hAnsi="Verdana"/>
        </w:rPr>
        <w:t>8</w:t>
      </w:r>
      <w:r w:rsidR="007B4C2C">
        <w:rPr>
          <w:rFonts w:ascii="Verdana" w:hAnsi="Verdana"/>
        </w:rPr>
        <w:t xml:space="preserve"> reporté </w:t>
      </w:r>
      <w:r w:rsidR="007B4C2C">
        <w:rPr>
          <w:rFonts w:ascii="Verdana" w:hAnsi="Verdana"/>
        </w:rPr>
        <w:tab/>
      </w:r>
      <w:r w:rsidR="00C43C04">
        <w:rPr>
          <w:rFonts w:ascii="Verdana" w:hAnsi="Verdana"/>
        </w:rPr>
        <w:tab/>
      </w:r>
      <w:r w:rsidR="007B4C2C">
        <w:rPr>
          <w:rFonts w:ascii="Verdana" w:hAnsi="Verdana"/>
        </w:rPr>
        <w:t xml:space="preserve">= </w:t>
      </w:r>
      <w:r w:rsidR="00535EBD">
        <w:rPr>
          <w:rFonts w:ascii="Verdana" w:hAnsi="Verdana"/>
        </w:rPr>
        <w:t>1 134 238,69 €</w:t>
      </w:r>
    </w:p>
    <w:p w14:paraId="59F5EB8E" w14:textId="6C25572A" w:rsidR="00C436C0" w:rsidRDefault="007B4C2C" w:rsidP="00E009E0">
      <w:pPr>
        <w:pStyle w:val="ListParagraph"/>
        <w:ind w:left="851" w:right="-567"/>
        <w:jc w:val="both"/>
        <w:rPr>
          <w:rFonts w:ascii="Verdana" w:hAnsi="Verdana"/>
        </w:rPr>
      </w:pPr>
      <w:r>
        <w:rPr>
          <w:rFonts w:ascii="Verdana" w:hAnsi="Verdana"/>
        </w:rPr>
        <w:t xml:space="preserve">Résultat de clôture </w:t>
      </w:r>
      <w:r>
        <w:rPr>
          <w:rFonts w:ascii="Verdana" w:hAnsi="Verdana"/>
        </w:rPr>
        <w:tab/>
      </w:r>
      <w:r>
        <w:rPr>
          <w:rFonts w:ascii="Verdana" w:hAnsi="Verdana"/>
        </w:rPr>
        <w:tab/>
        <w:t xml:space="preserve">= </w:t>
      </w:r>
      <w:r w:rsidR="00535EBD">
        <w:rPr>
          <w:rFonts w:ascii="Verdana" w:hAnsi="Verdana"/>
        </w:rPr>
        <w:t>1 175 342,03 €</w:t>
      </w:r>
    </w:p>
    <w:p w14:paraId="4A5A96FA" w14:textId="77777777" w:rsidR="00E009E0" w:rsidRPr="00E009E0" w:rsidRDefault="00E009E0" w:rsidP="00E009E0">
      <w:pPr>
        <w:pStyle w:val="ListParagraph"/>
        <w:ind w:left="851" w:right="-567"/>
        <w:jc w:val="both"/>
        <w:rPr>
          <w:rFonts w:ascii="Verdana" w:hAnsi="Verdana"/>
        </w:rPr>
      </w:pPr>
    </w:p>
    <w:p w14:paraId="105EE058" w14:textId="6970208A" w:rsidR="00BE2137" w:rsidRDefault="00635C3E" w:rsidP="00314473">
      <w:pPr>
        <w:pStyle w:val="ListParagraph"/>
        <w:ind w:left="851" w:right="-567"/>
        <w:jc w:val="both"/>
        <w:rPr>
          <w:rFonts w:ascii="Verdana" w:hAnsi="Verdana"/>
          <w:b/>
        </w:rPr>
      </w:pPr>
      <w:r>
        <w:rPr>
          <w:rFonts w:ascii="Verdana" w:hAnsi="Verdana"/>
          <w:b/>
        </w:rPr>
        <w:t xml:space="preserve">Ce résultat </w:t>
      </w:r>
      <w:r w:rsidR="00E009E0">
        <w:rPr>
          <w:rFonts w:ascii="Verdana" w:hAnsi="Verdana"/>
          <w:b/>
        </w:rPr>
        <w:t xml:space="preserve">est entièrement reporté </w:t>
      </w:r>
      <w:r w:rsidR="00841068">
        <w:rPr>
          <w:rFonts w:ascii="Verdana" w:hAnsi="Verdana"/>
          <w:b/>
        </w:rPr>
        <w:t>sur le BP 2</w:t>
      </w:r>
      <w:r w:rsidR="009A1C31">
        <w:rPr>
          <w:rFonts w:ascii="Verdana" w:hAnsi="Verdana"/>
          <w:b/>
        </w:rPr>
        <w:t>0</w:t>
      </w:r>
      <w:r w:rsidR="00535EBD">
        <w:rPr>
          <w:rFonts w:ascii="Verdana" w:hAnsi="Verdana"/>
          <w:b/>
        </w:rPr>
        <w:t>20</w:t>
      </w:r>
      <w:r w:rsidR="007B4C2C" w:rsidRPr="007B4C2C">
        <w:rPr>
          <w:rFonts w:ascii="Verdana" w:hAnsi="Verdana"/>
          <w:b/>
        </w:rPr>
        <w:t xml:space="preserve"> </w:t>
      </w:r>
      <w:r w:rsidR="00C436C0">
        <w:rPr>
          <w:rFonts w:ascii="Verdana" w:hAnsi="Verdana"/>
          <w:b/>
        </w:rPr>
        <w:t>en fonctionnement</w:t>
      </w:r>
      <w:r w:rsidR="00E009E0">
        <w:rPr>
          <w:rFonts w:ascii="Verdana" w:hAnsi="Verdana"/>
          <w:b/>
        </w:rPr>
        <w:t>.</w:t>
      </w:r>
      <w:r w:rsidR="00C436C0">
        <w:rPr>
          <w:rFonts w:ascii="Verdana" w:hAnsi="Verdana"/>
          <w:b/>
        </w:rPr>
        <w:t xml:space="preserve"> </w:t>
      </w:r>
    </w:p>
    <w:p w14:paraId="22D15C8C" w14:textId="77777777" w:rsidR="00AF3AF7" w:rsidRDefault="00AF3AF7" w:rsidP="00314473">
      <w:pPr>
        <w:pStyle w:val="ListParagraph"/>
        <w:ind w:left="851" w:right="-567"/>
        <w:jc w:val="both"/>
        <w:rPr>
          <w:rFonts w:ascii="Verdana" w:hAnsi="Verdana"/>
          <w:b/>
        </w:rPr>
      </w:pPr>
    </w:p>
    <w:p w14:paraId="05203CC2" w14:textId="1E59F509" w:rsidR="00261FB3" w:rsidRDefault="00535EBD" w:rsidP="00314473">
      <w:pPr>
        <w:pStyle w:val="ListParagraph"/>
        <w:ind w:left="851" w:right="-567"/>
        <w:jc w:val="both"/>
        <w:rPr>
          <w:rFonts w:ascii="Verdana" w:hAnsi="Verdana"/>
          <w:b/>
        </w:rPr>
      </w:pPr>
      <w:r>
        <w:rPr>
          <w:rFonts w:ascii="Verdana" w:hAnsi="Verdana"/>
          <w:b/>
        </w:rPr>
        <w:t>Nous revenons à un excédent de fonctionnement hors vente du patrimoine communal, ce qui est une amélioration conséquente par rapport à l’année précédente.</w:t>
      </w:r>
    </w:p>
    <w:p w14:paraId="5FB0DC74" w14:textId="77777777" w:rsidR="00E221C2" w:rsidRDefault="00E221C2" w:rsidP="00314473">
      <w:pPr>
        <w:pStyle w:val="ListParagraph"/>
        <w:ind w:left="851" w:right="-567"/>
        <w:jc w:val="both"/>
        <w:rPr>
          <w:rFonts w:ascii="Verdana" w:hAnsi="Verdana"/>
        </w:rPr>
      </w:pPr>
    </w:p>
    <w:p w14:paraId="40C790C1" w14:textId="50C8A014" w:rsidR="00261FB3" w:rsidRDefault="00261FB3" w:rsidP="00314473">
      <w:pPr>
        <w:pStyle w:val="ListParagraph"/>
        <w:ind w:left="851" w:right="-567"/>
        <w:jc w:val="both"/>
        <w:rPr>
          <w:rFonts w:ascii="Verdana" w:hAnsi="Verdana"/>
        </w:rPr>
      </w:pPr>
      <w:r>
        <w:rPr>
          <w:rFonts w:ascii="Verdana" w:hAnsi="Verdana"/>
        </w:rPr>
        <w:t>Sur la section d’investissement le résultat de l’exercice</w:t>
      </w:r>
      <w:r w:rsidR="00635C3E">
        <w:rPr>
          <w:rFonts w:ascii="Verdana" w:hAnsi="Verdana"/>
        </w:rPr>
        <w:t xml:space="preserve"> </w:t>
      </w:r>
      <w:r w:rsidR="009A1C31">
        <w:rPr>
          <w:rFonts w:ascii="Verdana" w:hAnsi="Verdana"/>
        </w:rPr>
        <w:t xml:space="preserve">positif de </w:t>
      </w:r>
      <w:r w:rsidR="00535EBD">
        <w:rPr>
          <w:rFonts w:ascii="Verdana" w:hAnsi="Verdana"/>
        </w:rPr>
        <w:t>329 934,37</w:t>
      </w:r>
      <w:r>
        <w:rPr>
          <w:rFonts w:ascii="Verdana" w:hAnsi="Verdana"/>
        </w:rPr>
        <w:t xml:space="preserve"> €</w:t>
      </w:r>
      <w:r w:rsidR="009252B9">
        <w:rPr>
          <w:rFonts w:ascii="Verdana" w:hAnsi="Verdana"/>
        </w:rPr>
        <w:t xml:space="preserve"> sans les RAR qui s’élèvent à 429 159 €.</w:t>
      </w:r>
    </w:p>
    <w:p w14:paraId="13612139" w14:textId="77777777" w:rsidR="009252B9" w:rsidRDefault="009252B9" w:rsidP="00314473">
      <w:pPr>
        <w:ind w:left="851" w:right="-567"/>
        <w:jc w:val="both"/>
        <w:rPr>
          <w:rFonts w:ascii="Verdana" w:hAnsi="Verdana"/>
        </w:rPr>
      </w:pPr>
      <w:r>
        <w:rPr>
          <w:rFonts w:ascii="Verdana" w:hAnsi="Verdana"/>
        </w:rPr>
        <w:t xml:space="preserve">Si on enlève au résultat ces restes à réaliser, il devient négatif de </w:t>
      </w:r>
    </w:p>
    <w:p w14:paraId="68CFA77E" w14:textId="77777777" w:rsidR="009252B9" w:rsidRDefault="009252B9" w:rsidP="00314473">
      <w:pPr>
        <w:ind w:left="851" w:right="-567"/>
        <w:jc w:val="both"/>
        <w:rPr>
          <w:rFonts w:ascii="Verdana" w:hAnsi="Verdana"/>
        </w:rPr>
      </w:pPr>
      <w:r>
        <w:rPr>
          <w:rFonts w:ascii="Verdana" w:hAnsi="Verdana"/>
        </w:rPr>
        <w:t>– 99 224,63 €.</w:t>
      </w:r>
    </w:p>
    <w:p w14:paraId="239F6851" w14:textId="587078C4" w:rsidR="009252B9" w:rsidRDefault="009252B9" w:rsidP="00314473">
      <w:pPr>
        <w:ind w:left="851" w:right="-567"/>
        <w:jc w:val="both"/>
        <w:rPr>
          <w:rFonts w:ascii="Verdana" w:hAnsi="Verdana"/>
        </w:rPr>
      </w:pPr>
      <w:r>
        <w:rPr>
          <w:rFonts w:ascii="Verdana" w:hAnsi="Verdana"/>
        </w:rPr>
        <w:t>Mais le résultat de clôture 2018 s’élevait à 1 337 769,10 € moins les 99 224,63 € de résultat négatif, ce qui donne un résultat de clôture positif de :</w:t>
      </w:r>
    </w:p>
    <w:p w14:paraId="38043795" w14:textId="5EEB0A16" w:rsidR="009252B9" w:rsidRDefault="009252B9" w:rsidP="00314473">
      <w:pPr>
        <w:ind w:left="851" w:right="-567"/>
        <w:jc w:val="both"/>
        <w:rPr>
          <w:rFonts w:ascii="Verdana" w:hAnsi="Verdana"/>
        </w:rPr>
      </w:pPr>
      <w:r>
        <w:rPr>
          <w:rFonts w:ascii="Verdana" w:hAnsi="Verdana"/>
        </w:rPr>
        <w:t>1 238 544,37 €</w:t>
      </w:r>
    </w:p>
    <w:p w14:paraId="4DECAB33" w14:textId="64A992C5" w:rsidR="00AF3AF7" w:rsidRDefault="009252B9" w:rsidP="009252B9">
      <w:pPr>
        <w:ind w:left="851" w:right="-567"/>
        <w:jc w:val="both"/>
        <w:rPr>
          <w:rFonts w:ascii="Verdana" w:hAnsi="Verdana"/>
        </w:rPr>
      </w:pPr>
      <w:r>
        <w:rPr>
          <w:rFonts w:ascii="Verdana" w:hAnsi="Verdana"/>
        </w:rPr>
        <w:t xml:space="preserve"> </w:t>
      </w:r>
      <w:r w:rsidR="00AF3AF7">
        <w:rPr>
          <w:rFonts w:ascii="Verdana" w:hAnsi="Verdana"/>
        </w:rPr>
        <w:t xml:space="preserve">Le budget d’investissement nous permet d’envisager </w:t>
      </w:r>
      <w:r w:rsidR="00535EBD">
        <w:rPr>
          <w:rFonts w:ascii="Verdana" w:hAnsi="Verdana"/>
        </w:rPr>
        <w:t>sereinement la mise en place de notre Programme Pluriannuel d’Investissement.</w:t>
      </w:r>
      <w:r w:rsidR="00AF3AF7">
        <w:rPr>
          <w:rFonts w:ascii="Verdana" w:hAnsi="Verdana"/>
        </w:rPr>
        <w:t xml:space="preserve"> </w:t>
      </w:r>
    </w:p>
    <w:p w14:paraId="4C3562F7" w14:textId="37227699" w:rsidR="00E221C2" w:rsidRDefault="00E221C2" w:rsidP="00314473">
      <w:pPr>
        <w:ind w:left="851" w:right="-567"/>
        <w:jc w:val="both"/>
        <w:rPr>
          <w:rFonts w:ascii="Verdana" w:hAnsi="Verdana"/>
        </w:rPr>
      </w:pPr>
    </w:p>
    <w:p w14:paraId="402C8F64" w14:textId="0885D7EF" w:rsidR="00E221C2" w:rsidRDefault="00E221C2" w:rsidP="00314473">
      <w:pPr>
        <w:ind w:left="851" w:right="-567"/>
        <w:jc w:val="both"/>
        <w:rPr>
          <w:rFonts w:ascii="Verdana" w:hAnsi="Verdana"/>
        </w:rPr>
      </w:pPr>
    </w:p>
    <w:p w14:paraId="11B98ED2" w14:textId="77777777" w:rsidR="00E221C2" w:rsidRPr="00261FB3" w:rsidRDefault="00E221C2" w:rsidP="00314473">
      <w:pPr>
        <w:ind w:left="851" w:right="-567"/>
        <w:jc w:val="both"/>
        <w:rPr>
          <w:rFonts w:ascii="Verdana" w:hAnsi="Verdana"/>
        </w:rPr>
      </w:pPr>
    </w:p>
    <w:p w14:paraId="0B70B220" w14:textId="77777777" w:rsidR="00261FB3" w:rsidRDefault="00261FB3" w:rsidP="00314473">
      <w:pPr>
        <w:spacing w:line="240" w:lineRule="auto"/>
        <w:ind w:left="851" w:right="-567" w:hanging="12"/>
        <w:jc w:val="both"/>
        <w:rPr>
          <w:rFonts w:ascii="Verdana" w:hAnsi="Verdana"/>
          <w:b/>
        </w:rPr>
      </w:pPr>
    </w:p>
    <w:p w14:paraId="7D6E2CFE" w14:textId="38ACA47C" w:rsidR="00627504" w:rsidRDefault="00A30E4B" w:rsidP="00627504">
      <w:pPr>
        <w:pBdr>
          <w:top w:val="single" w:sz="4" w:space="1" w:color="auto"/>
          <w:left w:val="single" w:sz="4" w:space="4" w:color="auto"/>
          <w:bottom w:val="single" w:sz="4" w:space="1" w:color="auto"/>
          <w:right w:val="single" w:sz="4" w:space="4" w:color="auto"/>
        </w:pBdr>
        <w:spacing w:line="240" w:lineRule="auto"/>
        <w:ind w:left="851" w:right="-567" w:hanging="12"/>
        <w:jc w:val="center"/>
        <w:rPr>
          <w:rFonts w:ascii="Verdana" w:hAnsi="Verdana"/>
          <w:b/>
        </w:rPr>
      </w:pPr>
      <w:r>
        <w:rPr>
          <w:rFonts w:ascii="Verdana" w:hAnsi="Verdana"/>
          <w:b/>
        </w:rPr>
        <w:t>Ré</w:t>
      </w:r>
      <w:r w:rsidR="00841068">
        <w:rPr>
          <w:rFonts w:ascii="Verdana" w:hAnsi="Verdana"/>
          <w:b/>
        </w:rPr>
        <w:t xml:space="preserve">sultat </w:t>
      </w:r>
      <w:r w:rsidR="00627504">
        <w:rPr>
          <w:rFonts w:ascii="Verdana" w:hAnsi="Verdana"/>
          <w:b/>
        </w:rPr>
        <w:t>des Dépenses de fonctionnement courant 201</w:t>
      </w:r>
      <w:r w:rsidR="00535EBD">
        <w:rPr>
          <w:rFonts w:ascii="Verdana" w:hAnsi="Verdana"/>
          <w:b/>
        </w:rPr>
        <w:t>9</w:t>
      </w:r>
    </w:p>
    <w:p w14:paraId="06C11565" w14:textId="7CC5FB01" w:rsidR="003C5D1B" w:rsidRDefault="00535EBD" w:rsidP="00627504">
      <w:pPr>
        <w:pBdr>
          <w:top w:val="single" w:sz="4" w:space="1" w:color="auto"/>
          <w:left w:val="single" w:sz="4" w:space="4" w:color="auto"/>
          <w:bottom w:val="single" w:sz="4" w:space="1" w:color="auto"/>
          <w:right w:val="single" w:sz="4" w:space="4" w:color="auto"/>
        </w:pBdr>
        <w:spacing w:line="240" w:lineRule="auto"/>
        <w:ind w:left="851" w:right="-567" w:hanging="12"/>
        <w:jc w:val="center"/>
        <w:rPr>
          <w:rFonts w:ascii="Verdana" w:hAnsi="Verdana"/>
          <w:b/>
        </w:rPr>
      </w:pPr>
      <w:r>
        <w:rPr>
          <w:rFonts w:ascii="Verdana" w:hAnsi="Verdana"/>
          <w:b/>
        </w:rPr>
        <w:t>= 5 054 081 € (2018 =</w:t>
      </w:r>
      <w:r w:rsidR="00162504">
        <w:rPr>
          <w:rFonts w:ascii="Verdana" w:hAnsi="Verdana"/>
          <w:b/>
        </w:rPr>
        <w:t xml:space="preserve"> </w:t>
      </w:r>
      <w:r w:rsidR="00627504">
        <w:rPr>
          <w:rFonts w:ascii="Verdana" w:hAnsi="Verdana"/>
          <w:b/>
        </w:rPr>
        <w:t>5</w:t>
      </w:r>
      <w:r>
        <w:rPr>
          <w:rFonts w:ascii="Verdana" w:hAnsi="Verdana"/>
          <w:b/>
        </w:rPr>
        <w:t> 512 766</w:t>
      </w:r>
      <w:r w:rsidR="003C5D1B">
        <w:rPr>
          <w:rFonts w:ascii="Verdana" w:hAnsi="Verdana"/>
          <w:b/>
        </w:rPr>
        <w:t xml:space="preserve"> €</w:t>
      </w:r>
      <w:r>
        <w:rPr>
          <w:rFonts w:ascii="Verdana" w:hAnsi="Verdana"/>
          <w:b/>
        </w:rPr>
        <w:t xml:space="preserve">) soit </w:t>
      </w:r>
      <w:r w:rsidR="00DE7620">
        <w:rPr>
          <w:rFonts w:ascii="Verdana" w:hAnsi="Verdana"/>
          <w:b/>
        </w:rPr>
        <w:t>– 8%</w:t>
      </w:r>
      <w:r>
        <w:rPr>
          <w:rFonts w:ascii="Verdana" w:hAnsi="Verdana"/>
          <w:b/>
        </w:rPr>
        <w:t xml:space="preserve"> </w:t>
      </w:r>
    </w:p>
    <w:p w14:paraId="385E86C1" w14:textId="507EE9AF" w:rsidR="00EB2B43" w:rsidRDefault="00EB2B43" w:rsidP="00EB2B43">
      <w:pPr>
        <w:pStyle w:val="ListParagraph"/>
        <w:ind w:left="851" w:right="-567"/>
        <w:jc w:val="both"/>
        <w:rPr>
          <w:rFonts w:ascii="Verdana" w:hAnsi="Verdana"/>
          <w:b/>
          <w:i/>
        </w:rPr>
      </w:pPr>
    </w:p>
    <w:p w14:paraId="2FD7CA3F" w14:textId="77777777" w:rsidR="00E221C2" w:rsidRDefault="00E221C2" w:rsidP="00EB2B43">
      <w:pPr>
        <w:pStyle w:val="ListParagraph"/>
        <w:ind w:left="851" w:right="-567"/>
        <w:jc w:val="both"/>
        <w:rPr>
          <w:rFonts w:ascii="Verdana" w:hAnsi="Verdana"/>
          <w:b/>
          <w:i/>
        </w:rPr>
      </w:pPr>
    </w:p>
    <w:p w14:paraId="1D646365" w14:textId="3F7441A2" w:rsidR="00160820" w:rsidRPr="00F7017D" w:rsidRDefault="00A30E4B" w:rsidP="00314473">
      <w:pPr>
        <w:pStyle w:val="ListParagraph"/>
        <w:numPr>
          <w:ilvl w:val="0"/>
          <w:numId w:val="7"/>
        </w:numPr>
        <w:ind w:left="851" w:right="-567" w:hanging="12"/>
        <w:jc w:val="both"/>
        <w:rPr>
          <w:rFonts w:ascii="Verdana" w:hAnsi="Verdana"/>
          <w:b/>
          <w:i/>
        </w:rPr>
      </w:pPr>
      <w:r w:rsidRPr="00A8142C">
        <w:rPr>
          <w:rFonts w:ascii="Verdana" w:hAnsi="Verdana"/>
          <w:b/>
          <w:i/>
          <w:u w:val="single"/>
        </w:rPr>
        <w:t xml:space="preserve"> </w:t>
      </w:r>
      <w:r w:rsidR="00AE50C6" w:rsidRPr="00A8142C">
        <w:rPr>
          <w:rFonts w:ascii="Verdana" w:hAnsi="Verdana"/>
          <w:b/>
          <w:i/>
          <w:u w:val="single"/>
        </w:rPr>
        <w:t>C</w:t>
      </w:r>
      <w:r w:rsidR="00000A77" w:rsidRPr="00A8142C">
        <w:rPr>
          <w:rFonts w:ascii="Verdana" w:hAnsi="Verdana"/>
          <w:b/>
          <w:i/>
          <w:u w:val="single"/>
        </w:rPr>
        <w:t>harges</w:t>
      </w:r>
      <w:r w:rsidR="00694553" w:rsidRPr="00A8142C">
        <w:rPr>
          <w:rFonts w:ascii="Verdana" w:hAnsi="Verdana"/>
          <w:b/>
          <w:i/>
          <w:u w:val="single"/>
        </w:rPr>
        <w:t xml:space="preserve"> de fonctionnement </w:t>
      </w:r>
      <w:r w:rsidR="00160820" w:rsidRPr="00A8142C">
        <w:rPr>
          <w:rFonts w:ascii="Verdana" w:hAnsi="Verdana"/>
          <w:b/>
          <w:i/>
          <w:u w:val="single"/>
        </w:rPr>
        <w:t xml:space="preserve"> généra</w:t>
      </w:r>
      <w:r w:rsidR="00694553" w:rsidRPr="00A8142C">
        <w:rPr>
          <w:rFonts w:ascii="Verdana" w:hAnsi="Verdana"/>
          <w:b/>
          <w:i/>
          <w:u w:val="single"/>
        </w:rPr>
        <w:t>l chap. 11</w:t>
      </w:r>
      <w:r w:rsidRPr="00F7017D">
        <w:rPr>
          <w:rFonts w:ascii="Verdana" w:hAnsi="Verdana"/>
          <w:i/>
        </w:rPr>
        <w:t> </w:t>
      </w:r>
      <w:r w:rsidR="00694553">
        <w:rPr>
          <w:rFonts w:ascii="Verdana" w:hAnsi="Verdana"/>
          <w:i/>
        </w:rPr>
        <w:tab/>
      </w:r>
      <w:r w:rsidRPr="00F7017D">
        <w:rPr>
          <w:rFonts w:ascii="Verdana" w:hAnsi="Verdana"/>
          <w:b/>
          <w:i/>
        </w:rPr>
        <w:t xml:space="preserve">= </w:t>
      </w:r>
      <w:r w:rsidR="00627504">
        <w:rPr>
          <w:rFonts w:ascii="Verdana" w:hAnsi="Verdana"/>
          <w:b/>
          <w:i/>
        </w:rPr>
        <w:t>1</w:t>
      </w:r>
      <w:r w:rsidR="00694553">
        <w:rPr>
          <w:rFonts w:ascii="Verdana" w:hAnsi="Verdana"/>
          <w:b/>
          <w:i/>
        </w:rPr>
        <w:t> 399 198</w:t>
      </w:r>
      <w:r w:rsidR="00FA7CBD">
        <w:rPr>
          <w:rFonts w:ascii="Verdana" w:hAnsi="Verdana"/>
          <w:b/>
          <w:i/>
        </w:rPr>
        <w:t xml:space="preserve"> €</w:t>
      </w:r>
    </w:p>
    <w:p w14:paraId="2F45E5E5" w14:textId="77777777" w:rsidR="00F7017D" w:rsidRDefault="00F7017D" w:rsidP="00314473">
      <w:pPr>
        <w:pStyle w:val="ListParagraph"/>
        <w:ind w:left="851" w:right="-567" w:hanging="12"/>
        <w:jc w:val="both"/>
        <w:rPr>
          <w:rFonts w:ascii="Verdana" w:hAnsi="Verdana"/>
        </w:rPr>
      </w:pPr>
    </w:p>
    <w:p w14:paraId="2791519E" w14:textId="4F7A47D4" w:rsidR="00841068" w:rsidRPr="007C7E30" w:rsidRDefault="00627504" w:rsidP="00314473">
      <w:pPr>
        <w:pStyle w:val="ListParagraph"/>
        <w:ind w:left="851" w:right="-567"/>
        <w:jc w:val="both"/>
        <w:rPr>
          <w:rFonts w:ascii="Verdana" w:hAnsi="Verdana"/>
          <w:b/>
          <w:bCs/>
          <w:sz w:val="20"/>
          <w:szCs w:val="20"/>
        </w:rPr>
      </w:pPr>
      <w:r>
        <w:rPr>
          <w:rFonts w:ascii="Verdana" w:hAnsi="Verdana"/>
        </w:rPr>
        <w:t>BP 201</w:t>
      </w:r>
      <w:r w:rsidR="00DE7620">
        <w:rPr>
          <w:rFonts w:ascii="Verdana" w:hAnsi="Verdana"/>
        </w:rPr>
        <w:t>9</w:t>
      </w:r>
      <w:r w:rsidR="00160820">
        <w:rPr>
          <w:rFonts w:ascii="Verdana" w:hAnsi="Verdana"/>
        </w:rPr>
        <w:t xml:space="preserve"> </w:t>
      </w:r>
      <w:r w:rsidR="00160820">
        <w:rPr>
          <w:rFonts w:ascii="Verdana" w:hAnsi="Verdana"/>
        </w:rPr>
        <w:tab/>
      </w:r>
      <w:r w:rsidR="00B6591C">
        <w:rPr>
          <w:rFonts w:ascii="Verdana" w:hAnsi="Verdana"/>
        </w:rPr>
        <w:tab/>
      </w:r>
      <w:r w:rsidR="00160820">
        <w:rPr>
          <w:rFonts w:ascii="Verdana" w:hAnsi="Verdana"/>
        </w:rPr>
        <w:t xml:space="preserve">= </w:t>
      </w:r>
      <w:r>
        <w:rPr>
          <w:rFonts w:ascii="Verdana" w:hAnsi="Verdana"/>
        </w:rPr>
        <w:t>1</w:t>
      </w:r>
      <w:r w:rsidR="00DE7620">
        <w:rPr>
          <w:rFonts w:ascii="Verdana" w:hAnsi="Verdana"/>
        </w:rPr>
        <w:t> 439 496</w:t>
      </w:r>
      <w:r w:rsidR="00FA7CBD">
        <w:rPr>
          <w:rFonts w:ascii="Verdana" w:hAnsi="Verdana"/>
        </w:rPr>
        <w:t xml:space="preserve"> € </w:t>
      </w:r>
      <w:r>
        <w:rPr>
          <w:rFonts w:ascii="Verdana" w:hAnsi="Verdana"/>
          <w:sz w:val="20"/>
          <w:szCs w:val="20"/>
        </w:rPr>
        <w:t>(201</w:t>
      </w:r>
      <w:r w:rsidR="00DE7620">
        <w:rPr>
          <w:rFonts w:ascii="Verdana" w:hAnsi="Verdana"/>
          <w:sz w:val="20"/>
          <w:szCs w:val="20"/>
        </w:rPr>
        <w:t>8</w:t>
      </w:r>
      <w:r w:rsidR="00412B52">
        <w:rPr>
          <w:rFonts w:ascii="Verdana" w:hAnsi="Verdana"/>
          <w:sz w:val="20"/>
          <w:szCs w:val="20"/>
        </w:rPr>
        <w:t xml:space="preserve"> = </w:t>
      </w:r>
      <w:r>
        <w:rPr>
          <w:rFonts w:ascii="Verdana" w:hAnsi="Verdana"/>
          <w:sz w:val="20"/>
          <w:szCs w:val="20"/>
        </w:rPr>
        <w:t>1</w:t>
      </w:r>
      <w:r w:rsidR="00DE7620">
        <w:rPr>
          <w:rFonts w:ascii="Verdana" w:hAnsi="Verdana"/>
          <w:sz w:val="20"/>
          <w:szCs w:val="20"/>
        </w:rPr>
        <w:t> 582 275</w:t>
      </w:r>
      <w:r w:rsidR="00412B52">
        <w:rPr>
          <w:rFonts w:ascii="Verdana" w:hAnsi="Verdana"/>
          <w:sz w:val="20"/>
          <w:szCs w:val="20"/>
        </w:rPr>
        <w:t> </w:t>
      </w:r>
      <w:r w:rsidR="00FA7CBD" w:rsidRPr="00FA7CBD">
        <w:rPr>
          <w:rFonts w:ascii="Verdana" w:hAnsi="Verdana"/>
          <w:sz w:val="20"/>
          <w:szCs w:val="20"/>
        </w:rPr>
        <w:t>€)</w:t>
      </w:r>
      <w:r w:rsidR="007C7E30">
        <w:rPr>
          <w:rFonts w:ascii="Verdana" w:hAnsi="Verdana"/>
          <w:sz w:val="20"/>
          <w:szCs w:val="20"/>
        </w:rPr>
        <w:t xml:space="preserve"> </w:t>
      </w:r>
      <w:r w:rsidR="002B216B">
        <w:rPr>
          <w:rFonts w:ascii="Verdana" w:hAnsi="Verdana"/>
          <w:sz w:val="20"/>
          <w:szCs w:val="20"/>
        </w:rPr>
        <w:t>rappel – 9%</w:t>
      </w:r>
    </w:p>
    <w:p w14:paraId="0CF4E28F" w14:textId="6E6250B0" w:rsidR="00841068" w:rsidRDefault="00627504" w:rsidP="00314473">
      <w:pPr>
        <w:pStyle w:val="ListParagraph"/>
        <w:ind w:left="851" w:right="-567"/>
        <w:jc w:val="both"/>
        <w:rPr>
          <w:rFonts w:ascii="Verdana" w:hAnsi="Verdana"/>
        </w:rPr>
      </w:pPr>
      <w:r>
        <w:rPr>
          <w:rFonts w:ascii="Verdana" w:hAnsi="Verdana"/>
        </w:rPr>
        <w:t>Réalisé 201</w:t>
      </w:r>
      <w:r w:rsidR="00DE7620">
        <w:rPr>
          <w:rFonts w:ascii="Verdana" w:hAnsi="Verdana"/>
        </w:rPr>
        <w:t>9</w:t>
      </w:r>
      <w:r w:rsidR="00160820">
        <w:rPr>
          <w:rFonts w:ascii="Verdana" w:hAnsi="Verdana"/>
        </w:rPr>
        <w:t xml:space="preserve"> </w:t>
      </w:r>
      <w:r w:rsidR="00160820">
        <w:rPr>
          <w:rFonts w:ascii="Verdana" w:hAnsi="Verdana"/>
        </w:rPr>
        <w:tab/>
        <w:t xml:space="preserve">= </w:t>
      </w:r>
      <w:r>
        <w:rPr>
          <w:rFonts w:ascii="Verdana" w:hAnsi="Verdana"/>
        </w:rPr>
        <w:t>1</w:t>
      </w:r>
      <w:r w:rsidR="00DE7620">
        <w:rPr>
          <w:rFonts w:ascii="Verdana" w:hAnsi="Verdana"/>
        </w:rPr>
        <w:t> 399 198</w:t>
      </w:r>
      <w:r>
        <w:rPr>
          <w:rFonts w:ascii="Verdana" w:hAnsi="Verdana"/>
        </w:rPr>
        <w:t xml:space="preserve"> </w:t>
      </w:r>
      <w:r w:rsidR="00FA7CBD">
        <w:rPr>
          <w:rFonts w:ascii="Verdana" w:hAnsi="Verdana"/>
        </w:rPr>
        <w:t xml:space="preserve">€ </w:t>
      </w:r>
      <w:r>
        <w:rPr>
          <w:rFonts w:ascii="Verdana" w:hAnsi="Verdana"/>
          <w:sz w:val="20"/>
          <w:szCs w:val="20"/>
        </w:rPr>
        <w:t>(201</w:t>
      </w:r>
      <w:r w:rsidR="00DE7620">
        <w:rPr>
          <w:rFonts w:ascii="Verdana" w:hAnsi="Verdana"/>
          <w:sz w:val="20"/>
          <w:szCs w:val="20"/>
        </w:rPr>
        <w:t>8</w:t>
      </w:r>
      <w:r>
        <w:rPr>
          <w:rFonts w:ascii="Verdana" w:hAnsi="Verdana"/>
          <w:sz w:val="20"/>
          <w:szCs w:val="20"/>
        </w:rPr>
        <w:t xml:space="preserve"> = 1</w:t>
      </w:r>
      <w:r w:rsidR="00DE7620">
        <w:rPr>
          <w:rFonts w:ascii="Verdana" w:hAnsi="Verdana"/>
          <w:sz w:val="20"/>
          <w:szCs w:val="20"/>
        </w:rPr>
        <w:t> 510 657</w:t>
      </w:r>
      <w:r w:rsidR="00FA7CBD" w:rsidRPr="00FA7CBD">
        <w:rPr>
          <w:rFonts w:ascii="Verdana" w:hAnsi="Verdana"/>
          <w:sz w:val="20"/>
          <w:szCs w:val="20"/>
        </w:rPr>
        <w:t xml:space="preserve"> €)</w:t>
      </w:r>
    </w:p>
    <w:p w14:paraId="29A4385B" w14:textId="77777777" w:rsidR="0028539E" w:rsidRDefault="0028539E" w:rsidP="00314473">
      <w:pPr>
        <w:pStyle w:val="ListParagraph"/>
        <w:ind w:left="851" w:right="-567"/>
        <w:jc w:val="both"/>
        <w:rPr>
          <w:rFonts w:ascii="Verdana" w:hAnsi="Verdana"/>
        </w:rPr>
      </w:pPr>
    </w:p>
    <w:p w14:paraId="1C12BB93" w14:textId="53C38FC8" w:rsidR="00160820" w:rsidRDefault="00160820" w:rsidP="00314473">
      <w:pPr>
        <w:pStyle w:val="ListParagraph"/>
        <w:ind w:left="851" w:right="-567"/>
        <w:jc w:val="both"/>
        <w:rPr>
          <w:rFonts w:ascii="Verdana" w:hAnsi="Verdana"/>
        </w:rPr>
      </w:pPr>
      <w:r>
        <w:rPr>
          <w:rFonts w:ascii="Verdana" w:hAnsi="Verdana"/>
        </w:rPr>
        <w:t xml:space="preserve">Soit </w:t>
      </w:r>
      <w:r w:rsidR="00627504">
        <w:rPr>
          <w:rFonts w:ascii="Verdana" w:hAnsi="Verdana"/>
          <w:b/>
        </w:rPr>
        <w:t xml:space="preserve">– </w:t>
      </w:r>
      <w:r w:rsidR="00F3560E">
        <w:rPr>
          <w:rFonts w:ascii="Verdana" w:hAnsi="Verdana"/>
          <w:b/>
        </w:rPr>
        <w:t>3</w:t>
      </w:r>
      <w:r w:rsidR="007C7E30">
        <w:rPr>
          <w:rFonts w:ascii="Verdana" w:hAnsi="Verdana"/>
          <w:b/>
        </w:rPr>
        <w:t>%</w:t>
      </w:r>
      <w:r>
        <w:rPr>
          <w:rFonts w:ascii="Verdana" w:hAnsi="Verdana"/>
        </w:rPr>
        <w:t xml:space="preserve"> par rapport au BP voté</w:t>
      </w:r>
    </w:p>
    <w:p w14:paraId="15B2B8F1" w14:textId="77777777" w:rsidR="0028539E" w:rsidRDefault="0028539E" w:rsidP="00314473">
      <w:pPr>
        <w:pStyle w:val="ListParagraph"/>
        <w:ind w:left="851" w:right="-567"/>
        <w:jc w:val="both"/>
        <w:rPr>
          <w:rFonts w:ascii="Verdana" w:hAnsi="Verdana"/>
        </w:rPr>
      </w:pPr>
    </w:p>
    <w:p w14:paraId="046DB46B" w14:textId="72FE885F" w:rsidR="0028539E" w:rsidRDefault="00160820" w:rsidP="00314473">
      <w:pPr>
        <w:pStyle w:val="ListParagraph"/>
        <w:ind w:left="851" w:right="-567"/>
        <w:jc w:val="both"/>
        <w:rPr>
          <w:rFonts w:ascii="Verdana" w:hAnsi="Verdana"/>
        </w:rPr>
      </w:pPr>
      <w:r>
        <w:rPr>
          <w:rFonts w:ascii="Verdana" w:hAnsi="Verdana"/>
        </w:rPr>
        <w:t xml:space="preserve">Et </w:t>
      </w:r>
      <w:r w:rsidR="007C7E30">
        <w:rPr>
          <w:rFonts w:ascii="Verdana" w:hAnsi="Verdana"/>
          <w:b/>
        </w:rPr>
        <w:t>– 7,5 %</w:t>
      </w:r>
      <w:r w:rsidR="00627504">
        <w:rPr>
          <w:rFonts w:ascii="Verdana" w:hAnsi="Verdana"/>
        </w:rPr>
        <w:t xml:space="preserve"> par rapport au réalisé 201</w:t>
      </w:r>
      <w:r w:rsidR="007C7E30">
        <w:rPr>
          <w:rFonts w:ascii="Verdana" w:hAnsi="Verdana"/>
        </w:rPr>
        <w:t>8</w:t>
      </w:r>
      <w:r>
        <w:rPr>
          <w:rFonts w:ascii="Verdana" w:hAnsi="Verdana"/>
        </w:rPr>
        <w:t xml:space="preserve"> </w:t>
      </w:r>
    </w:p>
    <w:p w14:paraId="7FAF2F8E" w14:textId="77777777" w:rsidR="007C6650" w:rsidRDefault="007C6650" w:rsidP="00314473">
      <w:pPr>
        <w:pStyle w:val="ListParagraph"/>
        <w:ind w:left="851" w:right="-567"/>
        <w:jc w:val="both"/>
        <w:rPr>
          <w:rFonts w:ascii="Verdana" w:hAnsi="Verdana"/>
        </w:rPr>
      </w:pPr>
    </w:p>
    <w:p w14:paraId="7EC04DBF" w14:textId="62C67A32" w:rsidR="00160820" w:rsidRDefault="00627504" w:rsidP="00314473">
      <w:pPr>
        <w:pStyle w:val="ListParagraph"/>
        <w:ind w:left="851" w:right="-567"/>
        <w:jc w:val="both"/>
        <w:rPr>
          <w:rFonts w:ascii="Verdana" w:hAnsi="Verdana"/>
          <w:b/>
        </w:rPr>
      </w:pPr>
      <w:r>
        <w:rPr>
          <w:rFonts w:ascii="Verdana" w:hAnsi="Verdana"/>
          <w:b/>
        </w:rPr>
        <w:t>Proposition BP 20</w:t>
      </w:r>
      <w:r w:rsidR="007C7E30">
        <w:rPr>
          <w:rFonts w:ascii="Verdana" w:hAnsi="Verdana"/>
          <w:b/>
        </w:rPr>
        <w:t>20</w:t>
      </w:r>
      <w:r w:rsidR="00535BCB" w:rsidRPr="00535BCB">
        <w:rPr>
          <w:rFonts w:ascii="Verdana" w:hAnsi="Verdana"/>
          <w:b/>
        </w:rPr>
        <w:t xml:space="preserve"> =</w:t>
      </w:r>
      <w:r w:rsidR="00EA7B56">
        <w:rPr>
          <w:rFonts w:ascii="Verdana" w:hAnsi="Verdana"/>
          <w:b/>
        </w:rPr>
        <w:t xml:space="preserve"> </w:t>
      </w:r>
      <w:r>
        <w:rPr>
          <w:rFonts w:ascii="Verdana" w:hAnsi="Verdana"/>
          <w:b/>
        </w:rPr>
        <w:t>1</w:t>
      </w:r>
      <w:r w:rsidR="007C7E30">
        <w:rPr>
          <w:rFonts w:ascii="Verdana" w:hAnsi="Verdana"/>
          <w:b/>
        </w:rPr>
        <w:t> 371 214</w:t>
      </w:r>
      <w:r w:rsidR="003C5D1B">
        <w:rPr>
          <w:rFonts w:ascii="Verdana" w:hAnsi="Verdana"/>
          <w:b/>
        </w:rPr>
        <w:t xml:space="preserve"> €</w:t>
      </w:r>
      <w:r>
        <w:rPr>
          <w:rFonts w:ascii="Verdana" w:hAnsi="Verdana"/>
          <w:b/>
        </w:rPr>
        <w:t xml:space="preserve"> </w:t>
      </w:r>
      <w:r w:rsidR="002B216B">
        <w:rPr>
          <w:rFonts w:ascii="Verdana" w:hAnsi="Verdana"/>
          <w:b/>
        </w:rPr>
        <w:t>(- 4,75%)</w:t>
      </w:r>
    </w:p>
    <w:p w14:paraId="32739FA2" w14:textId="432F1976" w:rsidR="00554DD7" w:rsidRDefault="00554DD7" w:rsidP="00314473">
      <w:pPr>
        <w:pStyle w:val="ListParagraph"/>
        <w:ind w:left="851" w:right="-567"/>
        <w:jc w:val="both"/>
        <w:rPr>
          <w:rFonts w:ascii="Verdana" w:hAnsi="Verdana"/>
          <w:b/>
        </w:rPr>
      </w:pPr>
    </w:p>
    <w:p w14:paraId="00F09971" w14:textId="049901D0" w:rsidR="007C7E30" w:rsidRDefault="007C7E30" w:rsidP="00314473">
      <w:pPr>
        <w:pStyle w:val="ListParagraph"/>
        <w:ind w:left="851" w:right="-567"/>
        <w:jc w:val="both"/>
        <w:rPr>
          <w:rFonts w:ascii="Verdana" w:hAnsi="Verdana"/>
          <w:b/>
        </w:rPr>
      </w:pPr>
      <w:r>
        <w:rPr>
          <w:rFonts w:ascii="Verdana" w:hAnsi="Verdana"/>
          <w:b/>
        </w:rPr>
        <w:t xml:space="preserve">Cette diminution du BP </w:t>
      </w:r>
      <w:r w:rsidR="002B216B">
        <w:rPr>
          <w:rFonts w:ascii="Verdana" w:hAnsi="Verdana"/>
          <w:b/>
        </w:rPr>
        <w:t>2020 par rapport au BP 2019 entre dans le cadre de la mise en place du PPF mené avec les services.</w:t>
      </w:r>
    </w:p>
    <w:p w14:paraId="421B65C2" w14:textId="77777777" w:rsidR="002B216B" w:rsidRPr="002B216B" w:rsidRDefault="002B216B" w:rsidP="002B216B">
      <w:pPr>
        <w:ind w:right="-567"/>
        <w:jc w:val="both"/>
        <w:rPr>
          <w:rFonts w:ascii="Verdana" w:hAnsi="Verdana"/>
          <w:b/>
          <w:iCs/>
        </w:rPr>
      </w:pPr>
    </w:p>
    <w:p w14:paraId="203E8560" w14:textId="7CEFD9FF" w:rsidR="00160820" w:rsidRPr="002B216B" w:rsidRDefault="00AE50C6" w:rsidP="002B216B">
      <w:pPr>
        <w:pStyle w:val="ListParagraph"/>
        <w:numPr>
          <w:ilvl w:val="0"/>
          <w:numId w:val="7"/>
        </w:numPr>
        <w:ind w:right="-567"/>
        <w:jc w:val="both"/>
        <w:rPr>
          <w:rFonts w:ascii="Verdana" w:hAnsi="Verdana"/>
          <w:i/>
        </w:rPr>
      </w:pPr>
      <w:r w:rsidRPr="00A8142C">
        <w:rPr>
          <w:rFonts w:ascii="Verdana" w:hAnsi="Verdana"/>
          <w:b/>
          <w:i/>
          <w:u w:val="single"/>
        </w:rPr>
        <w:t>C</w:t>
      </w:r>
      <w:r w:rsidR="00160820" w:rsidRPr="00A8142C">
        <w:rPr>
          <w:rFonts w:ascii="Verdana" w:hAnsi="Verdana"/>
          <w:b/>
          <w:i/>
          <w:u w:val="single"/>
        </w:rPr>
        <w:t>harges de personnel</w:t>
      </w:r>
      <w:r w:rsidR="00A30E4B" w:rsidRPr="00A8142C">
        <w:rPr>
          <w:rFonts w:ascii="Verdana" w:hAnsi="Verdana"/>
          <w:i/>
          <w:u w:val="single"/>
        </w:rPr>
        <w:t> </w:t>
      </w:r>
      <w:r w:rsidR="00694553" w:rsidRPr="00A8142C">
        <w:rPr>
          <w:rFonts w:ascii="Verdana" w:hAnsi="Verdana"/>
          <w:b/>
          <w:bCs/>
          <w:i/>
          <w:u w:val="single"/>
        </w:rPr>
        <w:t>chap. 12</w:t>
      </w:r>
      <w:r w:rsidR="00A30E4B" w:rsidRPr="002B216B">
        <w:rPr>
          <w:rFonts w:ascii="Verdana" w:hAnsi="Verdana"/>
          <w:i/>
        </w:rPr>
        <w:tab/>
      </w:r>
      <w:r w:rsidR="00A30E4B" w:rsidRPr="002B216B">
        <w:rPr>
          <w:rFonts w:ascii="Verdana" w:hAnsi="Verdana"/>
          <w:i/>
        </w:rPr>
        <w:tab/>
      </w:r>
      <w:r w:rsidR="00A30E4B" w:rsidRPr="002B216B">
        <w:rPr>
          <w:rFonts w:ascii="Verdana" w:hAnsi="Verdana"/>
          <w:i/>
        </w:rPr>
        <w:tab/>
      </w:r>
      <w:r w:rsidR="00EA7B56" w:rsidRPr="002B216B">
        <w:rPr>
          <w:rFonts w:ascii="Verdana" w:hAnsi="Verdana"/>
          <w:b/>
          <w:i/>
        </w:rPr>
        <w:t>= 2</w:t>
      </w:r>
      <w:r w:rsidR="00AD71BF">
        <w:rPr>
          <w:rFonts w:ascii="Verdana" w:hAnsi="Verdana"/>
          <w:b/>
          <w:i/>
        </w:rPr>
        <w:t> 681 268</w:t>
      </w:r>
      <w:r w:rsidR="00A30E4B" w:rsidRPr="002B216B">
        <w:rPr>
          <w:rFonts w:ascii="Verdana" w:hAnsi="Verdana"/>
          <w:b/>
          <w:i/>
        </w:rPr>
        <w:t xml:space="preserve"> €</w:t>
      </w:r>
      <w:r w:rsidR="00000A77" w:rsidRPr="002B216B">
        <w:rPr>
          <w:rFonts w:ascii="Verdana" w:hAnsi="Verdana"/>
          <w:i/>
        </w:rPr>
        <w:t xml:space="preserve"> </w:t>
      </w:r>
    </w:p>
    <w:p w14:paraId="198F706B" w14:textId="77777777" w:rsidR="00F7017D" w:rsidRDefault="00F7017D" w:rsidP="00314473">
      <w:pPr>
        <w:pStyle w:val="ListParagraph"/>
        <w:ind w:left="851" w:right="-567"/>
        <w:jc w:val="both"/>
        <w:rPr>
          <w:rFonts w:ascii="Verdana" w:hAnsi="Verdana"/>
        </w:rPr>
      </w:pPr>
    </w:p>
    <w:p w14:paraId="2ED889B8" w14:textId="1370E8AF" w:rsidR="00160820" w:rsidRDefault="00554DD7" w:rsidP="00314473">
      <w:pPr>
        <w:pStyle w:val="ListParagraph"/>
        <w:ind w:left="851" w:right="-567"/>
        <w:jc w:val="both"/>
        <w:rPr>
          <w:rFonts w:ascii="Verdana" w:hAnsi="Verdana"/>
        </w:rPr>
      </w:pPr>
      <w:r>
        <w:rPr>
          <w:rFonts w:ascii="Verdana" w:hAnsi="Verdana"/>
        </w:rPr>
        <w:t>BP 201</w:t>
      </w:r>
      <w:r w:rsidR="002B216B">
        <w:rPr>
          <w:rFonts w:ascii="Verdana" w:hAnsi="Verdana"/>
        </w:rPr>
        <w:t>9</w:t>
      </w:r>
      <w:r w:rsidR="00160820">
        <w:rPr>
          <w:rFonts w:ascii="Verdana" w:hAnsi="Verdana"/>
        </w:rPr>
        <w:t xml:space="preserve"> </w:t>
      </w:r>
      <w:r w:rsidR="00160820">
        <w:rPr>
          <w:rFonts w:ascii="Verdana" w:hAnsi="Verdana"/>
        </w:rPr>
        <w:tab/>
      </w:r>
      <w:r w:rsidR="001053B6">
        <w:rPr>
          <w:rFonts w:ascii="Verdana" w:hAnsi="Verdana"/>
        </w:rPr>
        <w:tab/>
      </w:r>
      <w:r w:rsidR="00160820">
        <w:rPr>
          <w:rFonts w:ascii="Verdana" w:hAnsi="Verdana"/>
        </w:rPr>
        <w:t>=</w:t>
      </w:r>
      <w:r w:rsidR="00000A77">
        <w:rPr>
          <w:rFonts w:ascii="Verdana" w:hAnsi="Verdana"/>
        </w:rPr>
        <w:t xml:space="preserve"> </w:t>
      </w:r>
      <w:r w:rsidR="00F7017D">
        <w:rPr>
          <w:rFonts w:ascii="Verdana" w:hAnsi="Verdana"/>
        </w:rPr>
        <w:t>2</w:t>
      </w:r>
      <w:r w:rsidR="002B216B">
        <w:rPr>
          <w:rFonts w:ascii="Verdana" w:hAnsi="Verdana"/>
        </w:rPr>
        <w:t> </w:t>
      </w:r>
      <w:r>
        <w:rPr>
          <w:rFonts w:ascii="Verdana" w:hAnsi="Verdana"/>
        </w:rPr>
        <w:t>6</w:t>
      </w:r>
      <w:r w:rsidR="002B216B">
        <w:rPr>
          <w:rFonts w:ascii="Verdana" w:hAnsi="Verdana"/>
        </w:rPr>
        <w:t>87 700</w:t>
      </w:r>
      <w:r w:rsidR="00160820">
        <w:rPr>
          <w:rFonts w:ascii="Verdana" w:hAnsi="Verdana"/>
        </w:rPr>
        <w:t xml:space="preserve"> €</w:t>
      </w:r>
      <w:r>
        <w:rPr>
          <w:rFonts w:ascii="Verdana" w:hAnsi="Verdana"/>
        </w:rPr>
        <w:t xml:space="preserve"> (201</w:t>
      </w:r>
      <w:r w:rsidR="002B216B">
        <w:rPr>
          <w:rFonts w:ascii="Verdana" w:hAnsi="Verdana"/>
        </w:rPr>
        <w:t>8</w:t>
      </w:r>
      <w:r>
        <w:rPr>
          <w:rFonts w:ascii="Verdana" w:hAnsi="Verdana"/>
        </w:rPr>
        <w:t xml:space="preserve"> = 2 </w:t>
      </w:r>
      <w:r w:rsidR="002B216B">
        <w:rPr>
          <w:rFonts w:ascii="Verdana" w:hAnsi="Verdana"/>
        </w:rPr>
        <w:t>617</w:t>
      </w:r>
      <w:r>
        <w:rPr>
          <w:rFonts w:ascii="Verdana" w:hAnsi="Verdana"/>
        </w:rPr>
        <w:t> </w:t>
      </w:r>
      <w:r w:rsidR="002B216B">
        <w:rPr>
          <w:rFonts w:ascii="Verdana" w:hAnsi="Verdana"/>
        </w:rPr>
        <w:t>7</w:t>
      </w:r>
      <w:r>
        <w:rPr>
          <w:rFonts w:ascii="Verdana" w:hAnsi="Verdana"/>
        </w:rPr>
        <w:t>00 €)</w:t>
      </w:r>
    </w:p>
    <w:p w14:paraId="4428314F" w14:textId="42ED9853" w:rsidR="00160820" w:rsidRDefault="00554DD7" w:rsidP="00314473">
      <w:pPr>
        <w:pStyle w:val="ListParagraph"/>
        <w:ind w:left="851" w:right="-567"/>
        <w:jc w:val="both"/>
        <w:rPr>
          <w:rFonts w:ascii="Verdana" w:hAnsi="Verdana"/>
        </w:rPr>
      </w:pPr>
      <w:r>
        <w:rPr>
          <w:rFonts w:ascii="Verdana" w:hAnsi="Verdana"/>
        </w:rPr>
        <w:t>Réalisé 201</w:t>
      </w:r>
      <w:r w:rsidR="002B216B">
        <w:rPr>
          <w:rFonts w:ascii="Verdana" w:hAnsi="Verdana"/>
        </w:rPr>
        <w:t>9</w:t>
      </w:r>
      <w:r>
        <w:rPr>
          <w:rFonts w:ascii="Verdana" w:hAnsi="Verdana"/>
        </w:rPr>
        <w:t xml:space="preserve"> </w:t>
      </w:r>
      <w:r>
        <w:rPr>
          <w:rFonts w:ascii="Verdana" w:hAnsi="Verdana"/>
        </w:rPr>
        <w:tab/>
        <w:t>= 2</w:t>
      </w:r>
      <w:r w:rsidR="002B216B">
        <w:rPr>
          <w:rFonts w:ascii="Verdana" w:hAnsi="Verdana"/>
        </w:rPr>
        <w:t> </w:t>
      </w:r>
      <w:r>
        <w:rPr>
          <w:rFonts w:ascii="Verdana" w:hAnsi="Verdana"/>
        </w:rPr>
        <w:t>6</w:t>
      </w:r>
      <w:r w:rsidR="002B216B">
        <w:rPr>
          <w:rFonts w:ascii="Verdana" w:hAnsi="Verdana"/>
        </w:rPr>
        <w:t>81 268</w:t>
      </w:r>
      <w:r w:rsidR="00160820">
        <w:rPr>
          <w:rFonts w:ascii="Verdana" w:hAnsi="Verdana"/>
        </w:rPr>
        <w:t xml:space="preserve"> € </w:t>
      </w:r>
      <w:r>
        <w:rPr>
          <w:rFonts w:ascii="Verdana" w:hAnsi="Verdana"/>
        </w:rPr>
        <w:t>(201</w:t>
      </w:r>
      <w:r w:rsidR="002B216B">
        <w:rPr>
          <w:rFonts w:ascii="Verdana" w:hAnsi="Verdana"/>
        </w:rPr>
        <w:t>8</w:t>
      </w:r>
      <w:r>
        <w:rPr>
          <w:rFonts w:ascii="Verdana" w:hAnsi="Verdana"/>
        </w:rPr>
        <w:t xml:space="preserve"> = 2</w:t>
      </w:r>
      <w:r w:rsidR="002B216B">
        <w:rPr>
          <w:rFonts w:ascii="Verdana" w:hAnsi="Verdana"/>
        </w:rPr>
        <w:t> 608 635</w:t>
      </w:r>
      <w:r>
        <w:rPr>
          <w:rFonts w:ascii="Verdana" w:hAnsi="Verdana"/>
        </w:rPr>
        <w:t xml:space="preserve"> €)</w:t>
      </w:r>
    </w:p>
    <w:p w14:paraId="54F878E4" w14:textId="77777777" w:rsidR="00E318E8" w:rsidRDefault="00E318E8" w:rsidP="00314473">
      <w:pPr>
        <w:pStyle w:val="ListParagraph"/>
        <w:ind w:left="851" w:right="-567"/>
        <w:jc w:val="both"/>
        <w:rPr>
          <w:rFonts w:ascii="Verdana" w:hAnsi="Verdana"/>
        </w:rPr>
      </w:pPr>
    </w:p>
    <w:p w14:paraId="5B42B0D2" w14:textId="52F3A635" w:rsidR="00160820" w:rsidRDefault="00F7017D" w:rsidP="00314473">
      <w:pPr>
        <w:pStyle w:val="ListParagraph"/>
        <w:ind w:left="851" w:right="-567"/>
        <w:jc w:val="both"/>
        <w:rPr>
          <w:rFonts w:ascii="Verdana" w:hAnsi="Verdana"/>
        </w:rPr>
      </w:pPr>
      <w:r>
        <w:rPr>
          <w:rFonts w:ascii="Verdana" w:hAnsi="Verdana"/>
        </w:rPr>
        <w:t xml:space="preserve">Soit </w:t>
      </w:r>
      <w:r>
        <w:rPr>
          <w:rFonts w:ascii="Verdana" w:hAnsi="Verdana"/>
          <w:b/>
        </w:rPr>
        <w:t>-</w:t>
      </w:r>
      <w:r w:rsidR="00EA7B56">
        <w:rPr>
          <w:rFonts w:ascii="Verdana" w:hAnsi="Verdana"/>
          <w:b/>
        </w:rPr>
        <w:t xml:space="preserve"> 0</w:t>
      </w:r>
      <w:r w:rsidR="00A2155B">
        <w:rPr>
          <w:rFonts w:ascii="Verdana" w:hAnsi="Verdana"/>
          <w:b/>
        </w:rPr>
        <w:t>,</w:t>
      </w:r>
      <w:r w:rsidR="002B216B">
        <w:rPr>
          <w:rFonts w:ascii="Verdana" w:hAnsi="Verdana"/>
          <w:b/>
        </w:rPr>
        <w:t>24</w:t>
      </w:r>
      <w:r w:rsidR="00160820" w:rsidRPr="00435995">
        <w:rPr>
          <w:rFonts w:ascii="Verdana" w:hAnsi="Verdana"/>
          <w:b/>
        </w:rPr>
        <w:t>%</w:t>
      </w:r>
      <w:r w:rsidR="00160820">
        <w:rPr>
          <w:rFonts w:ascii="Verdana" w:hAnsi="Verdana"/>
        </w:rPr>
        <w:t xml:space="preserve"> par rapport au BP voté </w:t>
      </w:r>
      <w:r w:rsidR="00435995">
        <w:rPr>
          <w:rFonts w:ascii="Verdana" w:hAnsi="Verdana"/>
        </w:rPr>
        <w:t>et qui est aujourd’hui préparé au plus juste des besoins réels.</w:t>
      </w:r>
      <w:r>
        <w:rPr>
          <w:rFonts w:ascii="Verdana" w:hAnsi="Verdana"/>
        </w:rPr>
        <w:t xml:space="preserve"> Nous constatons une fois de plus la maîtrise des dépenses de personnel.</w:t>
      </w:r>
    </w:p>
    <w:p w14:paraId="28865B02" w14:textId="77777777" w:rsidR="00E318E8" w:rsidRDefault="00E318E8" w:rsidP="00314473">
      <w:pPr>
        <w:pStyle w:val="ListParagraph"/>
        <w:ind w:left="851" w:right="-567"/>
        <w:jc w:val="both"/>
        <w:rPr>
          <w:rFonts w:ascii="Verdana" w:hAnsi="Verdana"/>
        </w:rPr>
      </w:pPr>
    </w:p>
    <w:p w14:paraId="455E12B9" w14:textId="08C6808B" w:rsidR="00000A77" w:rsidRDefault="00753434" w:rsidP="00314473">
      <w:pPr>
        <w:pStyle w:val="ListParagraph"/>
        <w:ind w:left="851" w:right="-567"/>
        <w:jc w:val="both"/>
        <w:rPr>
          <w:rFonts w:ascii="Verdana" w:hAnsi="Verdana"/>
        </w:rPr>
      </w:pPr>
      <w:r>
        <w:rPr>
          <w:rFonts w:ascii="Verdana" w:hAnsi="Verdana"/>
        </w:rPr>
        <w:t xml:space="preserve">Et </w:t>
      </w:r>
      <w:r w:rsidR="00554DD7">
        <w:rPr>
          <w:rFonts w:ascii="Verdana" w:hAnsi="Verdana"/>
          <w:b/>
        </w:rPr>
        <w:t xml:space="preserve">+ </w:t>
      </w:r>
      <w:r w:rsidR="002B216B">
        <w:rPr>
          <w:rFonts w:ascii="Verdana" w:hAnsi="Verdana"/>
          <w:b/>
        </w:rPr>
        <w:t>2,8</w:t>
      </w:r>
      <w:r w:rsidR="00F7017D" w:rsidRPr="00F7017D">
        <w:rPr>
          <w:rFonts w:ascii="Verdana" w:hAnsi="Verdana"/>
          <w:b/>
        </w:rPr>
        <w:t>%</w:t>
      </w:r>
      <w:r w:rsidR="00554DD7">
        <w:rPr>
          <w:rFonts w:ascii="Verdana" w:hAnsi="Verdana"/>
        </w:rPr>
        <w:t xml:space="preserve"> par rapport au réalisé 201</w:t>
      </w:r>
      <w:r w:rsidR="002B216B">
        <w:rPr>
          <w:rFonts w:ascii="Verdana" w:hAnsi="Verdana"/>
        </w:rPr>
        <w:t>8</w:t>
      </w:r>
      <w:r w:rsidR="00554DD7">
        <w:rPr>
          <w:rFonts w:ascii="Verdana" w:hAnsi="Verdana"/>
        </w:rPr>
        <w:t xml:space="preserve"> (2</w:t>
      </w:r>
      <w:r w:rsidR="002B216B">
        <w:rPr>
          <w:rFonts w:ascii="Verdana" w:hAnsi="Verdana"/>
        </w:rPr>
        <w:t> 608 635</w:t>
      </w:r>
      <w:r w:rsidR="00160820">
        <w:rPr>
          <w:rFonts w:ascii="Verdana" w:hAnsi="Verdana"/>
        </w:rPr>
        <w:t xml:space="preserve"> €)</w:t>
      </w:r>
      <w:r w:rsidR="00EA7B56">
        <w:rPr>
          <w:rFonts w:ascii="Verdana" w:hAnsi="Verdana"/>
        </w:rPr>
        <w:t xml:space="preserve"> comprenant le</w:t>
      </w:r>
      <w:r w:rsidR="00554DD7">
        <w:rPr>
          <w:rFonts w:ascii="Verdana" w:hAnsi="Verdana"/>
        </w:rPr>
        <w:t>s évolutions statutaires,</w:t>
      </w:r>
      <w:r w:rsidR="002B216B">
        <w:rPr>
          <w:rFonts w:ascii="Verdana" w:hAnsi="Verdana"/>
        </w:rPr>
        <w:t xml:space="preserve"> </w:t>
      </w:r>
      <w:r w:rsidR="00554DD7">
        <w:rPr>
          <w:rFonts w:ascii="Verdana" w:hAnsi="Verdana"/>
        </w:rPr>
        <w:t>le recrutement de la chargée de mission STE, de l’instructeur des droits du</w:t>
      </w:r>
      <w:r w:rsidR="008531C3">
        <w:rPr>
          <w:rFonts w:ascii="Verdana" w:hAnsi="Verdana"/>
        </w:rPr>
        <w:t xml:space="preserve"> sol</w:t>
      </w:r>
      <w:r w:rsidR="002B216B">
        <w:rPr>
          <w:rFonts w:ascii="Verdana" w:hAnsi="Verdana"/>
        </w:rPr>
        <w:t xml:space="preserve"> sur une année entière </w:t>
      </w:r>
      <w:r w:rsidR="00BA61F2">
        <w:rPr>
          <w:rFonts w:ascii="Verdana" w:hAnsi="Verdana"/>
        </w:rPr>
        <w:t xml:space="preserve">et </w:t>
      </w:r>
      <w:r w:rsidR="002B216B">
        <w:rPr>
          <w:rFonts w:ascii="Verdana" w:hAnsi="Verdana"/>
        </w:rPr>
        <w:t>le recrutement du technicien informatique.</w:t>
      </w:r>
    </w:p>
    <w:p w14:paraId="4501297C" w14:textId="77777777" w:rsidR="00535BCB" w:rsidRDefault="00535BCB" w:rsidP="00314473">
      <w:pPr>
        <w:pStyle w:val="ListParagraph"/>
        <w:ind w:left="851" w:right="-567"/>
        <w:jc w:val="both"/>
        <w:rPr>
          <w:rFonts w:ascii="Verdana" w:hAnsi="Verdana"/>
        </w:rPr>
      </w:pPr>
    </w:p>
    <w:p w14:paraId="58A15190" w14:textId="77777777" w:rsidR="00261FB3" w:rsidRDefault="00261FB3" w:rsidP="00314473">
      <w:pPr>
        <w:pStyle w:val="ListParagraph"/>
        <w:ind w:left="851" w:right="-567"/>
        <w:jc w:val="center"/>
        <w:rPr>
          <w:rFonts w:ascii="Verdana" w:hAnsi="Verdana"/>
          <w:b/>
        </w:rPr>
      </w:pPr>
    </w:p>
    <w:p w14:paraId="3FC2E125" w14:textId="77777777" w:rsidR="00261FB3" w:rsidRDefault="00261FB3" w:rsidP="00314473">
      <w:pPr>
        <w:pStyle w:val="ListParagraph"/>
        <w:ind w:left="851" w:right="-567"/>
        <w:jc w:val="center"/>
        <w:rPr>
          <w:rFonts w:ascii="Verdana" w:hAnsi="Verdana"/>
          <w:b/>
        </w:rPr>
      </w:pPr>
    </w:p>
    <w:p w14:paraId="32442E7F" w14:textId="74D4DF10" w:rsidR="00FF00E3" w:rsidRDefault="00535BCB" w:rsidP="00314473">
      <w:pPr>
        <w:pStyle w:val="ListParagraph"/>
        <w:pBdr>
          <w:top w:val="single" w:sz="4" w:space="1" w:color="auto"/>
          <w:left w:val="single" w:sz="4" w:space="4" w:color="auto"/>
          <w:bottom w:val="single" w:sz="4" w:space="1" w:color="auto"/>
          <w:right w:val="single" w:sz="4" w:space="4" w:color="auto"/>
        </w:pBdr>
        <w:ind w:left="851" w:right="-567"/>
        <w:jc w:val="center"/>
        <w:rPr>
          <w:rFonts w:ascii="Verdana" w:hAnsi="Verdana"/>
          <w:b/>
        </w:rPr>
      </w:pPr>
      <w:r w:rsidRPr="00535BCB">
        <w:rPr>
          <w:rFonts w:ascii="Verdana" w:hAnsi="Verdana"/>
          <w:b/>
        </w:rPr>
        <w:t>Propositi</w:t>
      </w:r>
      <w:r w:rsidR="00F7017D">
        <w:rPr>
          <w:rFonts w:ascii="Verdana" w:hAnsi="Verdana"/>
          <w:b/>
        </w:rPr>
        <w:t xml:space="preserve">on </w:t>
      </w:r>
      <w:r w:rsidR="00FF00E3">
        <w:rPr>
          <w:rFonts w:ascii="Verdana" w:hAnsi="Verdana"/>
          <w:b/>
        </w:rPr>
        <w:t xml:space="preserve">budget du personnel </w:t>
      </w:r>
      <w:r w:rsidR="00F7017D">
        <w:rPr>
          <w:rFonts w:ascii="Verdana" w:hAnsi="Verdana"/>
          <w:b/>
        </w:rPr>
        <w:t>BP 20</w:t>
      </w:r>
      <w:r w:rsidR="002B216B">
        <w:rPr>
          <w:rFonts w:ascii="Verdana" w:hAnsi="Verdana"/>
          <w:b/>
        </w:rPr>
        <w:t>20</w:t>
      </w:r>
      <w:r w:rsidR="00F7017D">
        <w:rPr>
          <w:rFonts w:ascii="Verdana" w:hAnsi="Verdana"/>
          <w:b/>
        </w:rPr>
        <w:t xml:space="preserve"> = + </w:t>
      </w:r>
      <w:r w:rsidR="00206488">
        <w:rPr>
          <w:rFonts w:ascii="Verdana" w:hAnsi="Verdana"/>
          <w:b/>
        </w:rPr>
        <w:t>1,</w:t>
      </w:r>
      <w:r w:rsidR="00E60847">
        <w:rPr>
          <w:rFonts w:ascii="Verdana" w:hAnsi="Verdana"/>
          <w:b/>
        </w:rPr>
        <w:t>28</w:t>
      </w:r>
      <w:r w:rsidR="00A2155B">
        <w:rPr>
          <w:rFonts w:ascii="Verdana" w:hAnsi="Verdana"/>
          <w:b/>
        </w:rPr>
        <w:t xml:space="preserve"> </w:t>
      </w:r>
      <w:r w:rsidR="00F7017D">
        <w:rPr>
          <w:rFonts w:ascii="Verdana" w:hAnsi="Verdana"/>
          <w:b/>
        </w:rPr>
        <w:t>%</w:t>
      </w:r>
    </w:p>
    <w:p w14:paraId="7CB880BF" w14:textId="7E80C02F" w:rsidR="00535BCB" w:rsidRDefault="00FF00E3" w:rsidP="00314473">
      <w:pPr>
        <w:pStyle w:val="ListParagraph"/>
        <w:pBdr>
          <w:top w:val="single" w:sz="4" w:space="1" w:color="auto"/>
          <w:left w:val="single" w:sz="4" w:space="4" w:color="auto"/>
          <w:bottom w:val="single" w:sz="4" w:space="1" w:color="auto"/>
          <w:right w:val="single" w:sz="4" w:space="4" w:color="auto"/>
        </w:pBdr>
        <w:ind w:left="851" w:right="-567"/>
        <w:jc w:val="center"/>
        <w:rPr>
          <w:rFonts w:ascii="Verdana" w:hAnsi="Verdana"/>
          <w:b/>
        </w:rPr>
      </w:pPr>
      <w:r>
        <w:rPr>
          <w:rFonts w:ascii="Verdana" w:hAnsi="Verdana"/>
          <w:b/>
        </w:rPr>
        <w:t>S</w:t>
      </w:r>
      <w:r w:rsidR="00F7017D">
        <w:rPr>
          <w:rFonts w:ascii="Verdana" w:hAnsi="Verdana"/>
          <w:b/>
        </w:rPr>
        <w:t>oit 2</w:t>
      </w:r>
      <w:r w:rsidR="00E60847">
        <w:rPr>
          <w:rFonts w:ascii="Verdana" w:hAnsi="Verdana"/>
          <w:b/>
        </w:rPr>
        <w:t> </w:t>
      </w:r>
      <w:r w:rsidR="00206488">
        <w:rPr>
          <w:rFonts w:ascii="Verdana" w:hAnsi="Verdana"/>
          <w:b/>
        </w:rPr>
        <w:t>72</w:t>
      </w:r>
      <w:r w:rsidR="00E60847">
        <w:rPr>
          <w:rFonts w:ascii="Verdana" w:hAnsi="Verdana"/>
          <w:b/>
        </w:rPr>
        <w:t>2 225</w:t>
      </w:r>
      <w:r w:rsidR="00535BCB" w:rsidRPr="00535BCB">
        <w:rPr>
          <w:rFonts w:ascii="Verdana" w:hAnsi="Verdana"/>
          <w:b/>
        </w:rPr>
        <w:t xml:space="preserve"> €</w:t>
      </w:r>
    </w:p>
    <w:p w14:paraId="4D300B95" w14:textId="77777777" w:rsidR="00F5126C" w:rsidRDefault="00F5126C" w:rsidP="00314473">
      <w:pPr>
        <w:pStyle w:val="ListParagraph"/>
        <w:ind w:left="851" w:right="-567"/>
        <w:jc w:val="both"/>
        <w:rPr>
          <w:rFonts w:ascii="Verdana" w:hAnsi="Verdana"/>
        </w:rPr>
      </w:pPr>
    </w:p>
    <w:p w14:paraId="4739380F" w14:textId="77777777" w:rsidR="001B753B" w:rsidRPr="00F5126C" w:rsidRDefault="00F5126C" w:rsidP="00314473">
      <w:pPr>
        <w:pStyle w:val="ListParagraph"/>
        <w:ind w:left="851" w:right="-567"/>
        <w:jc w:val="both"/>
        <w:rPr>
          <w:rFonts w:ascii="Verdana" w:hAnsi="Verdana"/>
        </w:rPr>
      </w:pPr>
      <w:r w:rsidRPr="00F5126C">
        <w:rPr>
          <w:rFonts w:ascii="Verdana" w:hAnsi="Verdana"/>
        </w:rPr>
        <w:t xml:space="preserve">Cette proposition inclut : </w:t>
      </w:r>
    </w:p>
    <w:p w14:paraId="7928649F" w14:textId="77777777" w:rsidR="005265F1" w:rsidRDefault="005265F1" w:rsidP="005265F1">
      <w:pPr>
        <w:pStyle w:val="ListParagraph"/>
        <w:ind w:left="1440" w:right="-567"/>
        <w:jc w:val="both"/>
        <w:rPr>
          <w:rFonts w:ascii="Verdana" w:hAnsi="Verdana"/>
        </w:rPr>
      </w:pPr>
    </w:p>
    <w:p w14:paraId="1DA92B6A" w14:textId="77777777" w:rsidR="00F5126C" w:rsidRDefault="00F5126C" w:rsidP="005265F1">
      <w:pPr>
        <w:pStyle w:val="ListParagraph"/>
        <w:numPr>
          <w:ilvl w:val="0"/>
          <w:numId w:val="3"/>
        </w:numPr>
        <w:ind w:right="-567"/>
        <w:jc w:val="both"/>
        <w:rPr>
          <w:rFonts w:ascii="Verdana" w:hAnsi="Verdana"/>
        </w:rPr>
      </w:pPr>
      <w:r w:rsidRPr="005265F1">
        <w:rPr>
          <w:rFonts w:ascii="Verdana" w:hAnsi="Verdana"/>
        </w:rPr>
        <w:lastRenderedPageBreak/>
        <w:t>Les évolutions statutaires des agents,</w:t>
      </w:r>
    </w:p>
    <w:p w14:paraId="1C45CEA5" w14:textId="22A40057" w:rsidR="00BA61F2" w:rsidRDefault="00BA61F2" w:rsidP="005265F1">
      <w:pPr>
        <w:pStyle w:val="ListParagraph"/>
        <w:numPr>
          <w:ilvl w:val="0"/>
          <w:numId w:val="3"/>
        </w:numPr>
        <w:ind w:right="-567"/>
        <w:jc w:val="both"/>
        <w:rPr>
          <w:rFonts w:ascii="Verdana" w:hAnsi="Verdana"/>
        </w:rPr>
      </w:pPr>
      <w:r>
        <w:rPr>
          <w:rFonts w:ascii="Verdana" w:hAnsi="Verdana"/>
        </w:rPr>
        <w:t>Le recrutement d’un technicien informatique mutualisé avec Champagnier et Brié</w:t>
      </w:r>
      <w:r w:rsidR="00206488">
        <w:rPr>
          <w:rFonts w:ascii="Verdana" w:hAnsi="Verdana"/>
        </w:rPr>
        <w:t xml:space="preserve"> sur une année entière</w:t>
      </w:r>
    </w:p>
    <w:p w14:paraId="3D15539A" w14:textId="77777777" w:rsidR="008531C3" w:rsidRDefault="008531C3" w:rsidP="005265F1">
      <w:pPr>
        <w:pStyle w:val="ListParagraph"/>
        <w:numPr>
          <w:ilvl w:val="0"/>
          <w:numId w:val="3"/>
        </w:numPr>
        <w:ind w:right="-567"/>
        <w:jc w:val="both"/>
        <w:rPr>
          <w:rFonts w:ascii="Verdana" w:hAnsi="Verdana"/>
        </w:rPr>
      </w:pPr>
      <w:r>
        <w:rPr>
          <w:rFonts w:ascii="Verdana" w:hAnsi="Verdana"/>
        </w:rPr>
        <w:t>Le remplacement d’agents à mi-temps thérapeutique.</w:t>
      </w:r>
    </w:p>
    <w:p w14:paraId="4A596DD5" w14:textId="08ADCFF8" w:rsidR="00F5126C" w:rsidRDefault="00F5126C" w:rsidP="00314473">
      <w:pPr>
        <w:pStyle w:val="ListParagraph"/>
        <w:ind w:left="851" w:right="-567"/>
        <w:jc w:val="both"/>
        <w:rPr>
          <w:rFonts w:ascii="Verdana" w:hAnsi="Verdana"/>
          <w:b/>
        </w:rPr>
      </w:pPr>
    </w:p>
    <w:p w14:paraId="0F0FFFB7" w14:textId="60282A66" w:rsidR="00206488" w:rsidRDefault="00206488" w:rsidP="00314473">
      <w:pPr>
        <w:pStyle w:val="ListParagraph"/>
        <w:ind w:left="851" w:right="-567"/>
        <w:jc w:val="both"/>
        <w:rPr>
          <w:rFonts w:ascii="Verdana" w:hAnsi="Verdana"/>
          <w:b/>
        </w:rPr>
      </w:pPr>
      <w:r>
        <w:rPr>
          <w:rFonts w:ascii="Verdana" w:hAnsi="Verdana"/>
          <w:b/>
        </w:rPr>
        <w:t>Les charges de personnel restent maîtrisées</w:t>
      </w:r>
      <w:r w:rsidR="00E60847">
        <w:rPr>
          <w:rFonts w:ascii="Verdana" w:hAnsi="Verdana"/>
          <w:b/>
        </w:rPr>
        <w:t xml:space="preserve"> et stables pour 2020.</w:t>
      </w:r>
    </w:p>
    <w:p w14:paraId="63D75FCA" w14:textId="77777777" w:rsidR="00A30E4B" w:rsidRDefault="00A30E4B" w:rsidP="00314473">
      <w:pPr>
        <w:pStyle w:val="ListParagraph"/>
        <w:ind w:left="851" w:right="-567"/>
        <w:jc w:val="both"/>
        <w:rPr>
          <w:rFonts w:ascii="Verdana" w:hAnsi="Verdana"/>
          <w:b/>
          <w:i/>
        </w:rPr>
      </w:pPr>
    </w:p>
    <w:p w14:paraId="5A5AF1F9" w14:textId="77777777" w:rsidR="00A8142C" w:rsidRDefault="00A8142C" w:rsidP="00A8142C">
      <w:pPr>
        <w:pStyle w:val="ListParagraph"/>
        <w:ind w:left="851" w:right="-567"/>
        <w:jc w:val="both"/>
        <w:rPr>
          <w:rFonts w:ascii="Verdana" w:hAnsi="Verdana"/>
          <w:b/>
          <w:i/>
        </w:rPr>
      </w:pPr>
    </w:p>
    <w:p w14:paraId="31490C59" w14:textId="77777777" w:rsidR="00BB6C75" w:rsidRPr="00BB6C75" w:rsidRDefault="00BB6C75" w:rsidP="00BB6C75">
      <w:pPr>
        <w:pStyle w:val="ListParagraph"/>
        <w:ind w:left="851" w:right="-567"/>
        <w:jc w:val="both"/>
        <w:rPr>
          <w:rFonts w:ascii="Verdana" w:hAnsi="Verdana"/>
          <w:b/>
          <w:i/>
        </w:rPr>
      </w:pPr>
    </w:p>
    <w:p w14:paraId="68D52DC6" w14:textId="77777777" w:rsidR="00BB6C75" w:rsidRPr="00BB6C75" w:rsidRDefault="00BB6C75" w:rsidP="00BB6C75">
      <w:pPr>
        <w:pStyle w:val="ListParagraph"/>
        <w:ind w:left="851" w:right="-567"/>
        <w:jc w:val="both"/>
        <w:rPr>
          <w:rFonts w:ascii="Verdana" w:hAnsi="Verdana"/>
          <w:b/>
          <w:i/>
        </w:rPr>
      </w:pPr>
    </w:p>
    <w:p w14:paraId="5882B94C" w14:textId="5A6B7E32" w:rsidR="00A30E4B" w:rsidRDefault="00694553" w:rsidP="00314473">
      <w:pPr>
        <w:pStyle w:val="ListParagraph"/>
        <w:numPr>
          <w:ilvl w:val="0"/>
          <w:numId w:val="7"/>
        </w:numPr>
        <w:ind w:left="851" w:right="-567"/>
        <w:jc w:val="both"/>
        <w:rPr>
          <w:rFonts w:ascii="Verdana" w:hAnsi="Verdana"/>
          <w:b/>
          <w:i/>
        </w:rPr>
      </w:pPr>
      <w:r w:rsidRPr="00A8142C">
        <w:rPr>
          <w:rFonts w:ascii="Verdana" w:hAnsi="Verdana"/>
          <w:b/>
          <w:i/>
          <w:u w:val="single"/>
        </w:rPr>
        <w:t>A</w:t>
      </w:r>
      <w:r w:rsidR="00A30E4B" w:rsidRPr="00A8142C">
        <w:rPr>
          <w:rFonts w:ascii="Verdana" w:hAnsi="Verdana"/>
          <w:b/>
          <w:i/>
          <w:u w:val="single"/>
        </w:rPr>
        <w:t xml:space="preserve">utres charges de Gestion courante </w:t>
      </w:r>
      <w:r w:rsidRPr="00A8142C">
        <w:rPr>
          <w:rFonts w:ascii="Verdana" w:hAnsi="Verdana"/>
          <w:b/>
          <w:i/>
          <w:u w:val="single"/>
        </w:rPr>
        <w:t>chap. 65</w:t>
      </w:r>
      <w:r w:rsidR="00A30E4B">
        <w:rPr>
          <w:rFonts w:ascii="Verdana" w:hAnsi="Verdana"/>
          <w:b/>
          <w:i/>
        </w:rPr>
        <w:tab/>
      </w:r>
      <w:r w:rsidR="00A30E4B" w:rsidRPr="00A30E4B">
        <w:rPr>
          <w:rFonts w:ascii="Verdana" w:hAnsi="Verdana"/>
          <w:b/>
          <w:i/>
        </w:rPr>
        <w:t xml:space="preserve">= </w:t>
      </w:r>
      <w:r>
        <w:rPr>
          <w:rFonts w:ascii="Verdana" w:hAnsi="Verdana"/>
          <w:b/>
          <w:i/>
        </w:rPr>
        <w:t>873 988</w:t>
      </w:r>
      <w:r w:rsidR="00002F19">
        <w:rPr>
          <w:rFonts w:ascii="Verdana" w:hAnsi="Verdana"/>
          <w:b/>
          <w:i/>
        </w:rPr>
        <w:t xml:space="preserve"> €</w:t>
      </w:r>
    </w:p>
    <w:p w14:paraId="2A0B8E8C" w14:textId="77777777" w:rsidR="00545550" w:rsidRDefault="00545550" w:rsidP="00314473">
      <w:pPr>
        <w:pStyle w:val="ListParagraph"/>
        <w:ind w:left="851" w:right="-567"/>
        <w:jc w:val="both"/>
        <w:rPr>
          <w:rFonts w:ascii="Verdana" w:hAnsi="Verdana"/>
          <w:i/>
        </w:rPr>
      </w:pPr>
    </w:p>
    <w:p w14:paraId="186866F4" w14:textId="64A635D5" w:rsidR="00545550" w:rsidRDefault="00681CAE" w:rsidP="00545550">
      <w:pPr>
        <w:pStyle w:val="ListParagraph"/>
        <w:ind w:left="851" w:right="-567"/>
        <w:jc w:val="both"/>
        <w:rPr>
          <w:rFonts w:ascii="Verdana" w:hAnsi="Verdana"/>
          <w:b/>
        </w:rPr>
      </w:pPr>
      <w:r>
        <w:rPr>
          <w:rFonts w:ascii="Verdana" w:hAnsi="Verdana"/>
          <w:b/>
        </w:rPr>
        <w:t>Soit -</w:t>
      </w:r>
      <w:r w:rsidR="00694553">
        <w:rPr>
          <w:rFonts w:ascii="Verdana" w:hAnsi="Verdana"/>
          <w:b/>
        </w:rPr>
        <w:t>13,46</w:t>
      </w:r>
      <w:r>
        <w:rPr>
          <w:rFonts w:ascii="Verdana" w:hAnsi="Verdana"/>
          <w:b/>
        </w:rPr>
        <w:t xml:space="preserve"> </w:t>
      </w:r>
      <w:r w:rsidR="00545550" w:rsidRPr="00545550">
        <w:rPr>
          <w:rFonts w:ascii="Verdana" w:hAnsi="Verdana"/>
          <w:b/>
        </w:rPr>
        <w:t>%</w:t>
      </w:r>
      <w:r w:rsidR="00694553">
        <w:rPr>
          <w:rFonts w:ascii="Verdana" w:hAnsi="Verdana"/>
          <w:b/>
        </w:rPr>
        <w:t xml:space="preserve"> par rapport à 2018 (1 009 885 €)</w:t>
      </w:r>
    </w:p>
    <w:p w14:paraId="576C1521" w14:textId="68736A47" w:rsidR="00694553" w:rsidRDefault="00694553" w:rsidP="00545550">
      <w:pPr>
        <w:pStyle w:val="ListParagraph"/>
        <w:ind w:left="851" w:right="-567"/>
        <w:jc w:val="both"/>
        <w:rPr>
          <w:rFonts w:ascii="Verdana" w:hAnsi="Verdana"/>
          <w:b/>
        </w:rPr>
      </w:pPr>
    </w:p>
    <w:p w14:paraId="2EC11716" w14:textId="46C4E7BD" w:rsidR="00694553" w:rsidRPr="00694553" w:rsidRDefault="00694553" w:rsidP="00545550">
      <w:pPr>
        <w:pStyle w:val="ListParagraph"/>
        <w:ind w:left="851" w:right="-567"/>
        <w:jc w:val="both"/>
        <w:rPr>
          <w:rFonts w:ascii="Verdana" w:hAnsi="Verdana"/>
          <w:bCs/>
        </w:rPr>
      </w:pPr>
      <w:r>
        <w:rPr>
          <w:rFonts w:ascii="Verdana" w:hAnsi="Verdana"/>
          <w:bCs/>
        </w:rPr>
        <w:t>Cette différence provient essentiellement de la DSP de Malraux concernant la gestion des centres de loisirs extrascolaires et périscolaires, dont la dépense communale est comptée ailleurs que dans ce chapitre (au chapitre 67 dépenses exceptionnelles)</w:t>
      </w:r>
    </w:p>
    <w:p w14:paraId="78426D2A" w14:textId="77777777" w:rsidR="00681CAE" w:rsidRDefault="00681CAE" w:rsidP="00545550">
      <w:pPr>
        <w:pStyle w:val="ListParagraph"/>
        <w:ind w:left="851" w:right="-567"/>
        <w:jc w:val="both"/>
        <w:rPr>
          <w:rFonts w:ascii="Verdana" w:hAnsi="Verdana"/>
        </w:rPr>
      </w:pPr>
    </w:p>
    <w:p w14:paraId="14347F09" w14:textId="0AFB237E" w:rsidR="00681CAE" w:rsidRDefault="00681CAE" w:rsidP="00694553">
      <w:pPr>
        <w:ind w:right="-567" w:firstLine="708"/>
        <w:jc w:val="both"/>
        <w:rPr>
          <w:rFonts w:ascii="Verdana" w:hAnsi="Verdana"/>
        </w:rPr>
      </w:pPr>
      <w:r w:rsidRPr="00694553">
        <w:rPr>
          <w:rFonts w:ascii="Verdana" w:hAnsi="Verdana"/>
        </w:rPr>
        <w:t>Les postes les plus importants dans ce chapitre 65 </w:t>
      </w:r>
    </w:p>
    <w:p w14:paraId="5F8D467A" w14:textId="51428FF0" w:rsidR="00AC372B" w:rsidRPr="00694553" w:rsidRDefault="00AC372B" w:rsidP="00694553">
      <w:pPr>
        <w:ind w:right="-567" w:firstLine="708"/>
        <w:jc w:val="both"/>
        <w:rPr>
          <w:rFonts w:ascii="Verdana" w:hAnsi="Verdana"/>
        </w:rPr>
      </w:pPr>
      <w:r>
        <w:rPr>
          <w:rFonts w:ascii="Verdana" w:hAnsi="Verdana"/>
        </w:rPr>
        <w:t xml:space="preserve"> </w:t>
      </w:r>
    </w:p>
    <w:p w14:paraId="3CFA3F42" w14:textId="77777777" w:rsidR="00681CAE" w:rsidRDefault="00681CAE" w:rsidP="00681CAE">
      <w:pPr>
        <w:pStyle w:val="ListParagraph"/>
        <w:ind w:left="851" w:right="-567"/>
        <w:jc w:val="both"/>
        <w:rPr>
          <w:rFonts w:ascii="Verdana" w:hAnsi="Verdana"/>
        </w:rPr>
      </w:pPr>
    </w:p>
    <w:p w14:paraId="67598949" w14:textId="188AF690" w:rsidR="00A30E4B" w:rsidRPr="00681CAE" w:rsidRDefault="00A30E4B" w:rsidP="00681CAE">
      <w:pPr>
        <w:pStyle w:val="ListParagraph"/>
        <w:ind w:left="851" w:right="-567"/>
        <w:jc w:val="both"/>
        <w:rPr>
          <w:rFonts w:ascii="Verdana" w:hAnsi="Verdana"/>
        </w:rPr>
      </w:pPr>
      <w:r w:rsidRPr="00681CAE">
        <w:rPr>
          <w:rFonts w:ascii="Verdana" w:hAnsi="Verdana"/>
        </w:rPr>
        <w:t>P</w:t>
      </w:r>
      <w:r w:rsidR="00002F19" w:rsidRPr="00681CAE">
        <w:rPr>
          <w:rFonts w:ascii="Verdana" w:hAnsi="Verdana"/>
        </w:rPr>
        <w:t xml:space="preserve">articipation au SICCE </w:t>
      </w:r>
      <w:r w:rsidR="00002F19" w:rsidRPr="00681CAE">
        <w:rPr>
          <w:rFonts w:ascii="Verdana" w:hAnsi="Verdana"/>
        </w:rPr>
        <w:tab/>
      </w:r>
      <w:r w:rsidR="00992A08">
        <w:rPr>
          <w:rFonts w:ascii="Verdana" w:hAnsi="Verdana"/>
        </w:rPr>
        <w:tab/>
      </w:r>
      <w:r w:rsidR="00992A08">
        <w:rPr>
          <w:rFonts w:ascii="Verdana" w:hAnsi="Verdana"/>
        </w:rPr>
        <w:tab/>
      </w:r>
      <w:r w:rsidRPr="00681CAE">
        <w:rPr>
          <w:rFonts w:ascii="Verdana" w:hAnsi="Verdana"/>
        </w:rPr>
        <w:t xml:space="preserve">= </w:t>
      </w:r>
      <w:r w:rsidR="00681CAE">
        <w:rPr>
          <w:rFonts w:ascii="Verdana" w:hAnsi="Verdana"/>
        </w:rPr>
        <w:t>1</w:t>
      </w:r>
      <w:r w:rsidR="00C25484">
        <w:rPr>
          <w:rFonts w:ascii="Verdana" w:hAnsi="Verdana"/>
        </w:rPr>
        <w:t>47 593</w:t>
      </w:r>
      <w:r w:rsidR="00002F19" w:rsidRPr="00681CAE">
        <w:rPr>
          <w:rFonts w:ascii="Verdana" w:hAnsi="Verdana"/>
        </w:rPr>
        <w:t xml:space="preserve"> € </w:t>
      </w:r>
      <w:r w:rsidR="00681CAE" w:rsidRPr="00AC372B">
        <w:rPr>
          <w:rFonts w:ascii="Verdana" w:hAnsi="Verdana"/>
        </w:rPr>
        <w:t>(201</w:t>
      </w:r>
      <w:r w:rsidR="00C25484" w:rsidRPr="00AC372B">
        <w:rPr>
          <w:rFonts w:ascii="Verdana" w:hAnsi="Verdana"/>
        </w:rPr>
        <w:t>8</w:t>
      </w:r>
      <w:r w:rsidR="00002F19" w:rsidRPr="00AC372B">
        <w:rPr>
          <w:rFonts w:ascii="Verdana" w:hAnsi="Verdana"/>
        </w:rPr>
        <w:t xml:space="preserve"> =</w:t>
      </w:r>
      <w:r w:rsidR="00681CAE" w:rsidRPr="00AC372B">
        <w:rPr>
          <w:rFonts w:ascii="Verdana" w:hAnsi="Verdana"/>
        </w:rPr>
        <w:t xml:space="preserve"> 1</w:t>
      </w:r>
      <w:r w:rsidR="00C25484" w:rsidRPr="00AC372B">
        <w:rPr>
          <w:rFonts w:ascii="Verdana" w:hAnsi="Verdana"/>
        </w:rPr>
        <w:t>33 467</w:t>
      </w:r>
      <w:r w:rsidRPr="00AC372B">
        <w:rPr>
          <w:rFonts w:ascii="Verdana" w:hAnsi="Verdana"/>
        </w:rPr>
        <w:t xml:space="preserve"> €</w:t>
      </w:r>
      <w:r w:rsidR="00002F19" w:rsidRPr="00AC372B">
        <w:rPr>
          <w:rFonts w:ascii="Verdana" w:hAnsi="Verdana"/>
        </w:rPr>
        <w:t>)</w:t>
      </w:r>
      <w:r w:rsidR="008531C3">
        <w:rPr>
          <w:rFonts w:ascii="Verdana" w:hAnsi="Verdana"/>
          <w:sz w:val="20"/>
          <w:szCs w:val="20"/>
        </w:rPr>
        <w:t xml:space="preserve">    </w:t>
      </w:r>
    </w:p>
    <w:p w14:paraId="70F4AC34" w14:textId="77777777" w:rsidR="00F14A78" w:rsidRPr="00A30E4B" w:rsidRDefault="00F14A78" w:rsidP="00314473">
      <w:pPr>
        <w:pStyle w:val="ListParagraph"/>
        <w:spacing w:line="240" w:lineRule="auto"/>
        <w:ind w:left="851" w:right="-567"/>
        <w:jc w:val="both"/>
        <w:rPr>
          <w:rFonts w:ascii="Verdana" w:hAnsi="Verdana"/>
        </w:rPr>
      </w:pPr>
    </w:p>
    <w:p w14:paraId="757F3C4D" w14:textId="77777777" w:rsidR="00F421C1" w:rsidRDefault="00F421C1" w:rsidP="00314473">
      <w:pPr>
        <w:pStyle w:val="ListParagraph"/>
        <w:spacing w:line="240" w:lineRule="auto"/>
        <w:ind w:left="851" w:right="-567"/>
        <w:jc w:val="both"/>
        <w:rPr>
          <w:rFonts w:ascii="Verdana" w:hAnsi="Verdana"/>
        </w:rPr>
      </w:pPr>
    </w:p>
    <w:p w14:paraId="2D394817" w14:textId="2621AD95" w:rsidR="00A30E4B" w:rsidRDefault="00A30E4B" w:rsidP="00314473">
      <w:pPr>
        <w:pStyle w:val="ListParagraph"/>
        <w:spacing w:line="240" w:lineRule="auto"/>
        <w:ind w:left="851" w:right="-567"/>
        <w:jc w:val="both"/>
        <w:rPr>
          <w:rFonts w:ascii="Verdana" w:hAnsi="Verdana"/>
          <w:sz w:val="20"/>
          <w:szCs w:val="20"/>
        </w:rPr>
      </w:pPr>
      <w:r>
        <w:rPr>
          <w:rFonts w:ascii="Verdana" w:hAnsi="Verdana"/>
        </w:rPr>
        <w:t>S</w:t>
      </w:r>
      <w:r w:rsidR="009D1BC5">
        <w:rPr>
          <w:rFonts w:ascii="Verdana" w:hAnsi="Verdana"/>
        </w:rPr>
        <w:t xml:space="preserve">ubvention au CCAS </w:t>
      </w:r>
      <w:r w:rsidR="009D1BC5">
        <w:rPr>
          <w:rFonts w:ascii="Verdana" w:hAnsi="Verdana"/>
        </w:rPr>
        <w:tab/>
      </w:r>
      <w:r w:rsidR="00992A08">
        <w:rPr>
          <w:rFonts w:ascii="Verdana" w:hAnsi="Verdana"/>
        </w:rPr>
        <w:tab/>
      </w:r>
      <w:r w:rsidR="00992A08">
        <w:rPr>
          <w:rFonts w:ascii="Verdana" w:hAnsi="Verdana"/>
        </w:rPr>
        <w:tab/>
      </w:r>
      <w:r w:rsidRPr="00A30E4B">
        <w:rPr>
          <w:rFonts w:ascii="Verdana" w:hAnsi="Verdana"/>
        </w:rPr>
        <w:t xml:space="preserve">= </w:t>
      </w:r>
      <w:r w:rsidR="00C25484">
        <w:rPr>
          <w:rFonts w:ascii="Verdana" w:hAnsi="Verdana"/>
        </w:rPr>
        <w:t xml:space="preserve">260 876 </w:t>
      </w:r>
      <w:r w:rsidR="00002F19">
        <w:rPr>
          <w:rFonts w:ascii="Verdana" w:hAnsi="Verdana"/>
        </w:rPr>
        <w:t xml:space="preserve">€ </w:t>
      </w:r>
      <w:r w:rsidR="00681CAE" w:rsidRPr="00AC372B">
        <w:rPr>
          <w:rFonts w:ascii="Verdana" w:hAnsi="Verdana"/>
        </w:rPr>
        <w:t>(201</w:t>
      </w:r>
      <w:r w:rsidR="00C25484" w:rsidRPr="00AC372B">
        <w:rPr>
          <w:rFonts w:ascii="Verdana" w:hAnsi="Verdana"/>
        </w:rPr>
        <w:t>8</w:t>
      </w:r>
      <w:r w:rsidR="00002F19" w:rsidRPr="00AC372B">
        <w:rPr>
          <w:rFonts w:ascii="Verdana" w:hAnsi="Verdana"/>
        </w:rPr>
        <w:t xml:space="preserve"> = </w:t>
      </w:r>
      <w:r w:rsidR="00AC372B" w:rsidRPr="00AC372B">
        <w:rPr>
          <w:rFonts w:ascii="Verdana" w:hAnsi="Verdana"/>
        </w:rPr>
        <w:t xml:space="preserve">269 194 </w:t>
      </w:r>
      <w:r w:rsidRPr="00AC372B">
        <w:rPr>
          <w:rFonts w:ascii="Verdana" w:hAnsi="Verdana"/>
        </w:rPr>
        <w:t>€</w:t>
      </w:r>
      <w:r w:rsidR="00002F19" w:rsidRPr="00AC372B">
        <w:rPr>
          <w:rFonts w:ascii="Verdana" w:hAnsi="Verdana"/>
        </w:rPr>
        <w:t>)</w:t>
      </w:r>
      <w:r w:rsidR="008531C3">
        <w:rPr>
          <w:rFonts w:ascii="Verdana" w:hAnsi="Verdana"/>
          <w:sz w:val="20"/>
          <w:szCs w:val="20"/>
        </w:rPr>
        <w:t xml:space="preserve">   </w:t>
      </w:r>
    </w:p>
    <w:p w14:paraId="098F6669" w14:textId="77777777" w:rsidR="00FB6D26" w:rsidRDefault="00FB6D26" w:rsidP="00314473">
      <w:pPr>
        <w:pStyle w:val="ListParagraph"/>
        <w:spacing w:line="240" w:lineRule="auto"/>
        <w:ind w:left="851" w:right="-567"/>
        <w:jc w:val="both"/>
        <w:rPr>
          <w:rFonts w:ascii="Verdana" w:hAnsi="Verdana"/>
          <w:sz w:val="20"/>
          <w:szCs w:val="20"/>
        </w:rPr>
      </w:pPr>
    </w:p>
    <w:p w14:paraId="5D588BA1" w14:textId="7F8F6667" w:rsidR="00FB6D26" w:rsidRDefault="00FB6D26" w:rsidP="00314473">
      <w:pPr>
        <w:pStyle w:val="ListParagraph"/>
        <w:spacing w:line="240" w:lineRule="auto"/>
        <w:ind w:left="851" w:right="-567"/>
        <w:jc w:val="both"/>
        <w:rPr>
          <w:rFonts w:ascii="Verdana" w:hAnsi="Verdana"/>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56048F3B" w14:textId="750CFA9A" w:rsidR="00992A08" w:rsidRDefault="00A30E4B" w:rsidP="00AC372B">
      <w:pPr>
        <w:spacing w:line="240" w:lineRule="auto"/>
        <w:ind w:left="143" w:right="-567" w:firstLine="708"/>
        <w:jc w:val="both"/>
        <w:rPr>
          <w:rFonts w:ascii="Verdana" w:hAnsi="Verdana"/>
          <w:sz w:val="20"/>
          <w:szCs w:val="20"/>
        </w:rPr>
      </w:pPr>
      <w:r w:rsidRPr="00AC372B">
        <w:rPr>
          <w:rFonts w:ascii="Verdana" w:hAnsi="Verdana"/>
        </w:rPr>
        <w:t>S</w:t>
      </w:r>
      <w:r w:rsidR="00681901" w:rsidRPr="00AC372B">
        <w:rPr>
          <w:rFonts w:ascii="Verdana" w:hAnsi="Verdana"/>
        </w:rPr>
        <w:t xml:space="preserve">ubventions aux associations </w:t>
      </w:r>
      <w:r w:rsidR="00681901" w:rsidRPr="00AC372B">
        <w:rPr>
          <w:rFonts w:ascii="Verdana" w:hAnsi="Verdana"/>
        </w:rPr>
        <w:tab/>
      </w:r>
      <w:r w:rsidR="00992A08">
        <w:rPr>
          <w:rFonts w:ascii="Verdana" w:hAnsi="Verdana"/>
        </w:rPr>
        <w:tab/>
      </w:r>
      <w:r w:rsidRPr="00AC372B">
        <w:rPr>
          <w:rFonts w:ascii="Verdana" w:hAnsi="Verdana"/>
        </w:rPr>
        <w:t xml:space="preserve">= </w:t>
      </w:r>
      <w:r w:rsidR="00C25484" w:rsidRPr="00AC372B">
        <w:rPr>
          <w:rFonts w:ascii="Verdana" w:hAnsi="Verdana"/>
        </w:rPr>
        <w:t>303 429</w:t>
      </w:r>
      <w:r w:rsidR="00002F19" w:rsidRPr="00AC372B">
        <w:rPr>
          <w:rFonts w:ascii="Verdana" w:hAnsi="Verdana"/>
        </w:rPr>
        <w:t xml:space="preserve"> € </w:t>
      </w:r>
      <w:r w:rsidR="00681CAE" w:rsidRPr="00AC372B">
        <w:rPr>
          <w:rFonts w:ascii="Verdana" w:hAnsi="Verdana"/>
        </w:rPr>
        <w:t>(201</w:t>
      </w:r>
      <w:r w:rsidR="00C25484" w:rsidRPr="00AC372B">
        <w:rPr>
          <w:rFonts w:ascii="Verdana" w:hAnsi="Verdana"/>
        </w:rPr>
        <w:t>8</w:t>
      </w:r>
      <w:r w:rsidR="00002F19" w:rsidRPr="00AC372B">
        <w:rPr>
          <w:rFonts w:ascii="Verdana" w:hAnsi="Verdana"/>
        </w:rPr>
        <w:t xml:space="preserve"> = </w:t>
      </w:r>
      <w:r w:rsidR="00AC372B" w:rsidRPr="00AC372B">
        <w:rPr>
          <w:rFonts w:ascii="Verdana" w:hAnsi="Verdana"/>
        </w:rPr>
        <w:t>454</w:t>
      </w:r>
      <w:r w:rsidR="00992A08">
        <w:rPr>
          <w:rFonts w:ascii="Verdana" w:hAnsi="Verdana"/>
        </w:rPr>
        <w:t> </w:t>
      </w:r>
      <w:r w:rsidR="00AC372B" w:rsidRPr="00AC372B">
        <w:rPr>
          <w:rFonts w:ascii="Verdana" w:hAnsi="Verdana"/>
        </w:rPr>
        <w:t>323</w:t>
      </w:r>
      <w:r w:rsidR="00992A08">
        <w:rPr>
          <w:rFonts w:ascii="Verdana" w:hAnsi="Verdana"/>
        </w:rPr>
        <w:t xml:space="preserve"> €)</w:t>
      </w:r>
      <w:r w:rsidR="008531C3" w:rsidRPr="00AC372B">
        <w:rPr>
          <w:rFonts w:ascii="Verdana" w:hAnsi="Verdana"/>
          <w:sz w:val="20"/>
          <w:szCs w:val="20"/>
        </w:rPr>
        <w:t xml:space="preserve">   </w:t>
      </w:r>
    </w:p>
    <w:p w14:paraId="571DEB44" w14:textId="0DF6DF1C" w:rsidR="00E468D8" w:rsidRPr="00AC372B" w:rsidRDefault="00992A08" w:rsidP="00AC372B">
      <w:pPr>
        <w:spacing w:line="240" w:lineRule="auto"/>
        <w:ind w:left="143" w:right="-567" w:firstLine="708"/>
        <w:jc w:val="both"/>
        <w:rPr>
          <w:rFonts w:ascii="Verdana" w:hAnsi="Verdana"/>
          <w:sz w:val="20"/>
          <w:szCs w:val="20"/>
        </w:rPr>
      </w:pPr>
      <w:r>
        <w:rPr>
          <w:rFonts w:ascii="Verdana" w:hAnsi="Verdana"/>
          <w:sz w:val="20"/>
          <w:szCs w:val="20"/>
        </w:rPr>
        <w:t xml:space="preserve"> </w:t>
      </w:r>
      <w:r>
        <w:rPr>
          <w:rFonts w:ascii="Verdana" w:hAnsi="Verdana"/>
        </w:rPr>
        <w:t>D</w:t>
      </w:r>
      <w:r w:rsidRPr="00992A08">
        <w:rPr>
          <w:rFonts w:ascii="Verdana" w:hAnsi="Verdana"/>
        </w:rPr>
        <w:t>ont</w:t>
      </w:r>
      <w:r>
        <w:rPr>
          <w:rFonts w:ascii="Verdana" w:hAnsi="Verdana"/>
          <w:sz w:val="20"/>
          <w:szCs w:val="20"/>
        </w:rPr>
        <w:t xml:space="preserve"> </w:t>
      </w:r>
      <w:r>
        <w:rPr>
          <w:rFonts w:ascii="Verdana" w:hAnsi="Verdana"/>
        </w:rPr>
        <w:t>Subvention CSC Malraux</w:t>
      </w:r>
      <w:r>
        <w:rPr>
          <w:rFonts w:ascii="Verdana" w:hAnsi="Verdana"/>
        </w:rPr>
        <w:tab/>
        <w:t>= 132 764 € (2018 = 331 422 €)</w:t>
      </w:r>
    </w:p>
    <w:p w14:paraId="31D77DA0" w14:textId="77777777" w:rsidR="00FB6D26" w:rsidRDefault="00FB6D26" w:rsidP="00E468D8">
      <w:pPr>
        <w:pStyle w:val="ListParagraph"/>
        <w:spacing w:line="240" w:lineRule="auto"/>
        <w:ind w:left="851" w:right="-567"/>
        <w:jc w:val="both"/>
        <w:rPr>
          <w:rFonts w:ascii="Verdana" w:hAnsi="Verdana"/>
          <w:sz w:val="20"/>
          <w:szCs w:val="20"/>
        </w:rPr>
      </w:pPr>
    </w:p>
    <w:p w14:paraId="32FB2882" w14:textId="77777777" w:rsidR="00FB6D26" w:rsidRDefault="00FB6D26" w:rsidP="00E468D8">
      <w:pPr>
        <w:pStyle w:val="ListParagraph"/>
        <w:spacing w:line="240" w:lineRule="auto"/>
        <w:ind w:left="851" w:right="-567"/>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071C81F2" w14:textId="111B5DFE" w:rsidR="007C6650" w:rsidRPr="00AC372B" w:rsidRDefault="007C6650" w:rsidP="00AC372B">
      <w:pPr>
        <w:pStyle w:val="ListParagraph"/>
        <w:numPr>
          <w:ilvl w:val="0"/>
          <w:numId w:val="7"/>
        </w:numPr>
        <w:ind w:right="-567"/>
        <w:jc w:val="both"/>
        <w:rPr>
          <w:rFonts w:ascii="Verdana" w:hAnsi="Verdana"/>
          <w:sz w:val="20"/>
          <w:szCs w:val="20"/>
        </w:rPr>
      </w:pPr>
      <w:r w:rsidRPr="00AC372B">
        <w:rPr>
          <w:rFonts w:ascii="Verdana" w:hAnsi="Verdana"/>
          <w:b/>
          <w:i/>
          <w:u w:val="single"/>
        </w:rPr>
        <w:t>Atténuations de produits</w:t>
      </w:r>
      <w:r w:rsidR="00A8142C" w:rsidRPr="00AC372B">
        <w:rPr>
          <w:rFonts w:ascii="Verdana" w:hAnsi="Verdana"/>
          <w:b/>
          <w:u w:val="single"/>
        </w:rPr>
        <w:t xml:space="preserve"> chap.14</w:t>
      </w:r>
      <w:r w:rsidRPr="00AC372B">
        <w:rPr>
          <w:rFonts w:ascii="Verdana" w:hAnsi="Verdana"/>
        </w:rPr>
        <w:t xml:space="preserve"> = </w:t>
      </w:r>
      <w:r w:rsidR="00FB6D26" w:rsidRPr="00AC372B">
        <w:rPr>
          <w:rFonts w:ascii="Verdana" w:hAnsi="Verdana"/>
        </w:rPr>
        <w:t>1</w:t>
      </w:r>
      <w:r w:rsidR="00AD5DB6">
        <w:rPr>
          <w:rFonts w:ascii="Verdana" w:hAnsi="Verdana"/>
        </w:rPr>
        <w:t>03 155</w:t>
      </w:r>
      <w:r w:rsidRPr="00AC372B">
        <w:rPr>
          <w:rFonts w:ascii="Verdana" w:hAnsi="Verdana"/>
        </w:rPr>
        <w:t xml:space="preserve"> </w:t>
      </w:r>
      <w:r w:rsidRPr="00AD5DB6">
        <w:rPr>
          <w:rFonts w:ascii="Verdana" w:hAnsi="Verdana"/>
        </w:rPr>
        <w:t>€ (</w:t>
      </w:r>
      <w:r w:rsidR="00FB6D26" w:rsidRPr="00AD5DB6">
        <w:rPr>
          <w:rFonts w:ascii="Verdana" w:hAnsi="Verdana"/>
        </w:rPr>
        <w:t>201</w:t>
      </w:r>
      <w:r w:rsidR="00AD5DB6" w:rsidRPr="00AD5DB6">
        <w:rPr>
          <w:rFonts w:ascii="Verdana" w:hAnsi="Verdana"/>
        </w:rPr>
        <w:t>8</w:t>
      </w:r>
      <w:r w:rsidR="00FB6D26" w:rsidRPr="00AD5DB6">
        <w:rPr>
          <w:rFonts w:ascii="Verdana" w:hAnsi="Verdana"/>
        </w:rPr>
        <w:t xml:space="preserve"> =   1</w:t>
      </w:r>
      <w:r w:rsidR="00AD5DB6" w:rsidRPr="00AD5DB6">
        <w:rPr>
          <w:rFonts w:ascii="Verdana" w:hAnsi="Verdana"/>
        </w:rPr>
        <w:t>46 890</w:t>
      </w:r>
      <w:r w:rsidRPr="00AD5DB6">
        <w:rPr>
          <w:rFonts w:ascii="Verdana" w:hAnsi="Verdana"/>
        </w:rPr>
        <w:t xml:space="preserve"> €)</w:t>
      </w:r>
      <w:r w:rsidRPr="00AC372B">
        <w:rPr>
          <w:rFonts w:ascii="Verdana" w:hAnsi="Verdana"/>
          <w:sz w:val="20"/>
          <w:szCs w:val="20"/>
        </w:rPr>
        <w:t xml:space="preserve">   </w:t>
      </w:r>
    </w:p>
    <w:p w14:paraId="6BB1D271" w14:textId="77777777" w:rsidR="00FB6D26" w:rsidRDefault="00FB6D26" w:rsidP="00314473">
      <w:pPr>
        <w:pStyle w:val="ListParagraph"/>
        <w:ind w:left="851" w:right="-567"/>
        <w:jc w:val="both"/>
        <w:rPr>
          <w:rFonts w:ascii="Verdana" w:hAnsi="Verdana"/>
        </w:rPr>
      </w:pPr>
    </w:p>
    <w:p w14:paraId="1FE32C5C" w14:textId="700B42EA" w:rsidR="00FB6D26" w:rsidRPr="007C6650" w:rsidRDefault="00AD5DB6" w:rsidP="00314473">
      <w:pPr>
        <w:pStyle w:val="ListParagraph"/>
        <w:ind w:left="851" w:right="-567"/>
        <w:jc w:val="both"/>
        <w:rPr>
          <w:rFonts w:ascii="Verdana" w:hAnsi="Verdana"/>
        </w:rPr>
      </w:pPr>
      <w:r>
        <w:rPr>
          <w:rFonts w:ascii="Verdana" w:hAnsi="Verdana"/>
        </w:rPr>
        <w:t>L</w:t>
      </w:r>
      <w:r w:rsidR="00DC109B">
        <w:rPr>
          <w:rFonts w:ascii="Verdana" w:hAnsi="Verdana"/>
        </w:rPr>
        <w:t>a DGF négative de 55 946 € ainsi que la solidarité des territoires (FPIC) d’un montant de 4</w:t>
      </w:r>
      <w:r>
        <w:rPr>
          <w:rFonts w:ascii="Verdana" w:hAnsi="Verdana"/>
        </w:rPr>
        <w:t>7 209</w:t>
      </w:r>
      <w:r w:rsidR="00DC109B">
        <w:rPr>
          <w:rFonts w:ascii="Verdana" w:hAnsi="Verdana"/>
        </w:rPr>
        <w:t xml:space="preserve"> €</w:t>
      </w:r>
      <w:r>
        <w:rPr>
          <w:rFonts w:ascii="Verdana" w:hAnsi="Verdana"/>
        </w:rPr>
        <w:t>. En 2019 pas d’amende pour les logements sociaux</w:t>
      </w:r>
      <w:r w:rsidR="009252B9">
        <w:rPr>
          <w:rFonts w:ascii="Verdana" w:hAnsi="Verdana"/>
        </w:rPr>
        <w:t>, grâce aux investissements réalisés.</w:t>
      </w:r>
    </w:p>
    <w:p w14:paraId="6FDEC524" w14:textId="77777777" w:rsidR="00AD5DB6" w:rsidRDefault="00AD5DB6" w:rsidP="00AD5DB6">
      <w:pPr>
        <w:ind w:right="-567"/>
        <w:jc w:val="both"/>
        <w:rPr>
          <w:rFonts w:ascii="Verdana" w:hAnsi="Verdana"/>
          <w:b/>
        </w:rPr>
      </w:pPr>
    </w:p>
    <w:p w14:paraId="36547C8A" w14:textId="138EFF24" w:rsidR="00A30E4B" w:rsidRPr="00B55E78" w:rsidRDefault="00A30E4B" w:rsidP="00AD5DB6">
      <w:pPr>
        <w:ind w:right="-567" w:firstLine="708"/>
        <w:jc w:val="both"/>
        <w:rPr>
          <w:rFonts w:ascii="Verdana" w:hAnsi="Verdana"/>
        </w:rPr>
      </w:pPr>
      <w:r w:rsidRPr="00412B52">
        <w:rPr>
          <w:rFonts w:ascii="Verdana" w:hAnsi="Verdana"/>
          <w:b/>
        </w:rPr>
        <w:t>Un indicateur important :</w:t>
      </w:r>
    </w:p>
    <w:p w14:paraId="623A9000" w14:textId="77777777" w:rsidR="004B705C" w:rsidRPr="00A30E4B" w:rsidRDefault="004B705C" w:rsidP="00314473">
      <w:pPr>
        <w:pStyle w:val="ListParagraph"/>
        <w:ind w:left="851" w:right="-567"/>
        <w:jc w:val="both"/>
        <w:rPr>
          <w:rFonts w:ascii="Verdana" w:hAnsi="Verdana"/>
          <w:b/>
        </w:rPr>
      </w:pPr>
    </w:p>
    <w:p w14:paraId="7BB32FFB" w14:textId="77777777" w:rsidR="0074239F" w:rsidRDefault="00000A77" w:rsidP="00314473">
      <w:pPr>
        <w:pStyle w:val="ListParagraph"/>
        <w:ind w:left="851" w:right="-567"/>
        <w:jc w:val="both"/>
        <w:rPr>
          <w:rFonts w:ascii="Verdana" w:hAnsi="Verdana"/>
        </w:rPr>
      </w:pPr>
      <w:r>
        <w:rPr>
          <w:rFonts w:ascii="Verdana" w:hAnsi="Verdana"/>
        </w:rPr>
        <w:t>Le ratio de rigidité des dépenses</w:t>
      </w:r>
      <w:r w:rsidR="0074239F">
        <w:rPr>
          <w:rFonts w:ascii="Verdana" w:hAnsi="Verdana"/>
        </w:rPr>
        <w:t> :</w:t>
      </w:r>
      <w:r>
        <w:rPr>
          <w:rFonts w:ascii="Verdana" w:hAnsi="Verdana"/>
        </w:rPr>
        <w:t xml:space="preserve"> </w:t>
      </w:r>
    </w:p>
    <w:p w14:paraId="2444A42D" w14:textId="77777777" w:rsidR="0074239F" w:rsidRDefault="00000A77" w:rsidP="0074239F">
      <w:pPr>
        <w:pStyle w:val="ListParagraph"/>
        <w:ind w:left="851" w:right="-567"/>
        <w:jc w:val="both"/>
        <w:rPr>
          <w:rFonts w:ascii="Verdana" w:hAnsi="Verdana"/>
        </w:rPr>
      </w:pPr>
      <w:r>
        <w:rPr>
          <w:rFonts w:ascii="Verdana" w:hAnsi="Verdana"/>
        </w:rPr>
        <w:lastRenderedPageBreak/>
        <w:tab/>
      </w:r>
    </w:p>
    <w:p w14:paraId="785B0CB7" w14:textId="77777777" w:rsidR="0074239F" w:rsidRDefault="00000A77" w:rsidP="00AA029B">
      <w:pPr>
        <w:pStyle w:val="ListParagraph"/>
        <w:tabs>
          <w:tab w:val="left" w:pos="851"/>
        </w:tabs>
        <w:ind w:left="851" w:right="-567"/>
        <w:jc w:val="both"/>
        <w:rPr>
          <w:rFonts w:ascii="Verdana" w:hAnsi="Verdana"/>
        </w:rPr>
      </w:pPr>
      <w:r>
        <w:rPr>
          <w:rFonts w:ascii="Verdana" w:hAnsi="Verdana"/>
        </w:rPr>
        <w:t xml:space="preserve">2013 </w:t>
      </w:r>
      <w:r w:rsidR="0074239F">
        <w:rPr>
          <w:rFonts w:ascii="Verdana" w:hAnsi="Verdana"/>
        </w:rPr>
        <w:t xml:space="preserve"> </w:t>
      </w:r>
      <w:r>
        <w:rPr>
          <w:rFonts w:ascii="Verdana" w:hAnsi="Verdana"/>
        </w:rPr>
        <w:t xml:space="preserve">= </w:t>
      </w:r>
      <w:r w:rsidR="00AA029B">
        <w:rPr>
          <w:rFonts w:ascii="Verdana" w:hAnsi="Verdana"/>
        </w:rPr>
        <w:t xml:space="preserve">0,508 soit </w:t>
      </w:r>
      <w:r>
        <w:rPr>
          <w:rFonts w:ascii="Verdana" w:hAnsi="Verdana"/>
        </w:rPr>
        <w:t>50,8%</w:t>
      </w:r>
      <w:r w:rsidR="00AA029B">
        <w:rPr>
          <w:rFonts w:ascii="Verdana" w:hAnsi="Verdana"/>
        </w:rPr>
        <w:t xml:space="preserve"> produits affectés aux dépenses incompressibles</w:t>
      </w:r>
    </w:p>
    <w:p w14:paraId="5803B56D" w14:textId="77777777" w:rsidR="00000A77" w:rsidRPr="0074239F" w:rsidRDefault="009625CA" w:rsidP="00AA029B">
      <w:pPr>
        <w:pStyle w:val="ListParagraph"/>
        <w:tabs>
          <w:tab w:val="left" w:pos="851"/>
        </w:tabs>
        <w:ind w:left="851" w:right="-567"/>
        <w:jc w:val="both"/>
        <w:rPr>
          <w:rFonts w:ascii="Verdana" w:hAnsi="Verdana"/>
        </w:rPr>
      </w:pPr>
      <w:r w:rsidRPr="0074239F">
        <w:rPr>
          <w:rFonts w:ascii="Verdana" w:hAnsi="Verdana"/>
        </w:rPr>
        <w:t xml:space="preserve">2014 </w:t>
      </w:r>
      <w:r w:rsidR="0074239F" w:rsidRPr="0074239F">
        <w:rPr>
          <w:rFonts w:ascii="Verdana" w:hAnsi="Verdana"/>
        </w:rPr>
        <w:t xml:space="preserve"> </w:t>
      </w:r>
      <w:r w:rsidRPr="0074239F">
        <w:rPr>
          <w:rFonts w:ascii="Verdana" w:hAnsi="Verdana"/>
        </w:rPr>
        <w:t xml:space="preserve">= </w:t>
      </w:r>
      <w:r w:rsidR="00AA029B">
        <w:rPr>
          <w:rFonts w:ascii="Verdana" w:hAnsi="Verdana"/>
        </w:rPr>
        <w:t xml:space="preserve">0,520 soit </w:t>
      </w:r>
      <w:r w:rsidRPr="0074239F">
        <w:rPr>
          <w:rFonts w:ascii="Verdana" w:hAnsi="Verdana"/>
        </w:rPr>
        <w:t>52%</w:t>
      </w:r>
      <w:r w:rsidR="00AA029B">
        <w:rPr>
          <w:rFonts w:ascii="Verdana" w:hAnsi="Verdana"/>
        </w:rPr>
        <w:t xml:space="preserve"> </w:t>
      </w:r>
    </w:p>
    <w:p w14:paraId="2153F4A3" w14:textId="77777777" w:rsidR="009625CA" w:rsidRDefault="009625CA" w:rsidP="00AA029B">
      <w:pPr>
        <w:pStyle w:val="ListParagraph"/>
        <w:tabs>
          <w:tab w:val="left" w:pos="851"/>
        </w:tabs>
        <w:ind w:left="851" w:right="-567"/>
        <w:jc w:val="both"/>
        <w:rPr>
          <w:rFonts w:ascii="Verdana" w:hAnsi="Verdana"/>
        </w:rPr>
      </w:pPr>
      <w:r>
        <w:rPr>
          <w:rFonts w:ascii="Verdana" w:hAnsi="Verdana"/>
        </w:rPr>
        <w:t xml:space="preserve">2015 </w:t>
      </w:r>
      <w:r w:rsidR="0074239F">
        <w:rPr>
          <w:rFonts w:ascii="Verdana" w:hAnsi="Verdana"/>
        </w:rPr>
        <w:t xml:space="preserve"> </w:t>
      </w:r>
      <w:r w:rsidRPr="00661D9E">
        <w:rPr>
          <w:rFonts w:ascii="Verdana" w:hAnsi="Verdana"/>
        </w:rPr>
        <w:t xml:space="preserve">= </w:t>
      </w:r>
      <w:r w:rsidR="00AA029B">
        <w:rPr>
          <w:rFonts w:ascii="Verdana" w:hAnsi="Verdana"/>
        </w:rPr>
        <w:t xml:space="preserve">0,5197 soit </w:t>
      </w:r>
      <w:r w:rsidRPr="00661D9E">
        <w:rPr>
          <w:rFonts w:ascii="Verdana" w:hAnsi="Verdana"/>
        </w:rPr>
        <w:t>51,97%</w:t>
      </w:r>
      <w:r>
        <w:rPr>
          <w:rFonts w:ascii="Verdana" w:hAnsi="Verdana"/>
        </w:rPr>
        <w:t xml:space="preserve"> </w:t>
      </w:r>
    </w:p>
    <w:p w14:paraId="2CDCC31E" w14:textId="77777777" w:rsidR="00661D9E" w:rsidRDefault="00661D9E" w:rsidP="00AA029B">
      <w:pPr>
        <w:pStyle w:val="ListParagraph"/>
        <w:tabs>
          <w:tab w:val="left" w:pos="851"/>
        </w:tabs>
        <w:ind w:left="851" w:right="-567"/>
        <w:jc w:val="both"/>
        <w:rPr>
          <w:rFonts w:ascii="Verdana" w:hAnsi="Verdana"/>
        </w:rPr>
      </w:pPr>
      <w:r>
        <w:rPr>
          <w:rFonts w:ascii="Verdana" w:hAnsi="Verdana"/>
        </w:rPr>
        <w:t xml:space="preserve">2016 </w:t>
      </w:r>
      <w:r w:rsidR="0074239F">
        <w:rPr>
          <w:rFonts w:ascii="Verdana" w:hAnsi="Verdana"/>
        </w:rPr>
        <w:t xml:space="preserve"> </w:t>
      </w:r>
      <w:r>
        <w:rPr>
          <w:rFonts w:ascii="Verdana" w:hAnsi="Verdana"/>
        </w:rPr>
        <w:t xml:space="preserve">= </w:t>
      </w:r>
      <w:r w:rsidR="00AA029B">
        <w:rPr>
          <w:rFonts w:ascii="Verdana" w:hAnsi="Verdana"/>
        </w:rPr>
        <w:t xml:space="preserve">0,5166 soit </w:t>
      </w:r>
      <w:r w:rsidR="009B2911">
        <w:rPr>
          <w:rFonts w:ascii="Verdana" w:hAnsi="Verdana"/>
        </w:rPr>
        <w:t>51,66%</w:t>
      </w:r>
      <w:r>
        <w:rPr>
          <w:rFonts w:ascii="Verdana" w:hAnsi="Verdana"/>
        </w:rPr>
        <w:t xml:space="preserve"> (moyenne 62%)</w:t>
      </w:r>
    </w:p>
    <w:p w14:paraId="2C362EB1" w14:textId="77777777" w:rsidR="00D2331E" w:rsidRPr="00F421C1" w:rsidRDefault="00D2331E" w:rsidP="00AA029B">
      <w:pPr>
        <w:pStyle w:val="ListParagraph"/>
        <w:tabs>
          <w:tab w:val="left" w:pos="851"/>
        </w:tabs>
        <w:ind w:left="851" w:right="-567"/>
        <w:jc w:val="both"/>
        <w:rPr>
          <w:rFonts w:ascii="Verdana" w:hAnsi="Verdana"/>
          <w:color w:val="0066FF"/>
        </w:rPr>
      </w:pPr>
      <w:r w:rsidRPr="00F421C1">
        <w:rPr>
          <w:rFonts w:ascii="Verdana" w:hAnsi="Verdana"/>
          <w:color w:val="0066FF"/>
        </w:rPr>
        <w:t xml:space="preserve">2017 </w:t>
      </w:r>
      <w:r w:rsidR="00B56E14" w:rsidRPr="00F421C1">
        <w:rPr>
          <w:rFonts w:ascii="Verdana" w:hAnsi="Verdana"/>
          <w:color w:val="0066FF"/>
        </w:rPr>
        <w:t xml:space="preserve"> </w:t>
      </w:r>
      <w:r w:rsidRPr="00F421C1">
        <w:rPr>
          <w:rFonts w:ascii="Verdana" w:hAnsi="Verdana"/>
          <w:color w:val="0066FF"/>
        </w:rPr>
        <w:t>=</w:t>
      </w:r>
      <w:r w:rsidR="00412B52" w:rsidRPr="00F421C1">
        <w:rPr>
          <w:rFonts w:ascii="Verdana" w:hAnsi="Verdana"/>
          <w:color w:val="0066FF"/>
        </w:rPr>
        <w:t xml:space="preserve"> </w:t>
      </w:r>
      <w:r w:rsidR="00AA029B" w:rsidRPr="00F421C1">
        <w:rPr>
          <w:rFonts w:ascii="Verdana" w:hAnsi="Verdana"/>
          <w:color w:val="0066FF"/>
        </w:rPr>
        <w:t xml:space="preserve">0,4753 soit </w:t>
      </w:r>
      <w:r w:rsidR="00412B52" w:rsidRPr="00F421C1">
        <w:rPr>
          <w:rFonts w:ascii="Verdana" w:hAnsi="Verdana"/>
          <w:color w:val="0066FF"/>
        </w:rPr>
        <w:t>47,53% avec le Vercors</w:t>
      </w:r>
    </w:p>
    <w:p w14:paraId="35A9F925" w14:textId="77777777" w:rsidR="00412B52" w:rsidRPr="00993BFC" w:rsidRDefault="00412B52" w:rsidP="00AA029B">
      <w:pPr>
        <w:pStyle w:val="ListParagraph"/>
        <w:tabs>
          <w:tab w:val="left" w:pos="851"/>
        </w:tabs>
        <w:ind w:left="851" w:right="-567"/>
        <w:jc w:val="both"/>
        <w:rPr>
          <w:rFonts w:ascii="Verdana" w:hAnsi="Verdana"/>
          <w:color w:val="FF0000"/>
        </w:rPr>
      </w:pPr>
      <w:r w:rsidRPr="00993BFC">
        <w:rPr>
          <w:rFonts w:ascii="Verdana" w:hAnsi="Verdana"/>
          <w:color w:val="FF0000"/>
        </w:rPr>
        <w:t xml:space="preserve">2017 </w:t>
      </w:r>
      <w:r w:rsidR="00B56E14" w:rsidRPr="00993BFC">
        <w:rPr>
          <w:rFonts w:ascii="Verdana" w:hAnsi="Verdana"/>
          <w:color w:val="FF0000"/>
        </w:rPr>
        <w:t xml:space="preserve"> </w:t>
      </w:r>
      <w:r w:rsidRPr="00993BFC">
        <w:rPr>
          <w:rFonts w:ascii="Verdana" w:hAnsi="Verdana"/>
          <w:color w:val="FF0000"/>
        </w:rPr>
        <w:t xml:space="preserve">= </w:t>
      </w:r>
      <w:r w:rsidR="00AA029B" w:rsidRPr="00993BFC">
        <w:rPr>
          <w:rFonts w:ascii="Verdana" w:hAnsi="Verdana"/>
          <w:color w:val="FF0000"/>
        </w:rPr>
        <w:t xml:space="preserve">0,5584 soit </w:t>
      </w:r>
      <w:r w:rsidRPr="00993BFC">
        <w:rPr>
          <w:rFonts w:ascii="Verdana" w:hAnsi="Verdana"/>
          <w:color w:val="FF0000"/>
        </w:rPr>
        <w:t>55,84% sans le Vercors</w:t>
      </w:r>
    </w:p>
    <w:p w14:paraId="54C7C6CC" w14:textId="77777777" w:rsidR="009B41EC" w:rsidRPr="00F421C1" w:rsidRDefault="009B41EC" w:rsidP="00AA029B">
      <w:pPr>
        <w:pStyle w:val="ListParagraph"/>
        <w:tabs>
          <w:tab w:val="left" w:pos="851"/>
        </w:tabs>
        <w:ind w:left="851" w:right="-567"/>
        <w:jc w:val="both"/>
        <w:rPr>
          <w:rFonts w:ascii="Verdana" w:hAnsi="Verdana"/>
          <w:color w:val="0066FF"/>
        </w:rPr>
      </w:pPr>
      <w:r w:rsidRPr="00F421C1">
        <w:rPr>
          <w:rFonts w:ascii="Verdana" w:hAnsi="Verdana"/>
          <w:color w:val="0066FF"/>
        </w:rPr>
        <w:t xml:space="preserve">2018 </w:t>
      </w:r>
      <w:r w:rsidR="00B56E14" w:rsidRPr="00F421C1">
        <w:rPr>
          <w:rFonts w:ascii="Verdana" w:hAnsi="Verdana"/>
          <w:color w:val="0066FF"/>
        </w:rPr>
        <w:t xml:space="preserve"> </w:t>
      </w:r>
      <w:r w:rsidRPr="00F421C1">
        <w:rPr>
          <w:rFonts w:ascii="Verdana" w:hAnsi="Verdana"/>
          <w:color w:val="0066FF"/>
        </w:rPr>
        <w:t xml:space="preserve">= </w:t>
      </w:r>
      <w:r w:rsidR="00B56E14" w:rsidRPr="00F421C1">
        <w:rPr>
          <w:rFonts w:ascii="Verdana" w:hAnsi="Verdana"/>
          <w:color w:val="0066FF"/>
        </w:rPr>
        <w:t>0,5041 soit 50,41% avec Grand Champ</w:t>
      </w:r>
    </w:p>
    <w:p w14:paraId="0F226F75" w14:textId="503DF7B4" w:rsidR="00B56E14" w:rsidRDefault="00B56E14" w:rsidP="00AA029B">
      <w:pPr>
        <w:pStyle w:val="ListParagraph"/>
        <w:tabs>
          <w:tab w:val="left" w:pos="851"/>
        </w:tabs>
        <w:ind w:left="851" w:right="-567"/>
        <w:jc w:val="both"/>
        <w:rPr>
          <w:rFonts w:ascii="Verdana" w:hAnsi="Verdana"/>
          <w:color w:val="FF0000"/>
        </w:rPr>
      </w:pPr>
      <w:r w:rsidRPr="00993BFC">
        <w:rPr>
          <w:rFonts w:ascii="Verdana" w:hAnsi="Verdana"/>
          <w:color w:val="FF0000"/>
        </w:rPr>
        <w:t>2018  = 0,5587 soit 55,87% sans Grand Champ</w:t>
      </w:r>
    </w:p>
    <w:p w14:paraId="74549785" w14:textId="7668DB52" w:rsidR="00AD5DB6" w:rsidRDefault="00AD5DB6" w:rsidP="00AA029B">
      <w:pPr>
        <w:pStyle w:val="ListParagraph"/>
        <w:tabs>
          <w:tab w:val="left" w:pos="851"/>
        </w:tabs>
        <w:ind w:left="851" w:right="-567"/>
        <w:jc w:val="both"/>
        <w:rPr>
          <w:rFonts w:ascii="Verdana" w:hAnsi="Verdana"/>
        </w:rPr>
      </w:pPr>
      <w:r w:rsidRPr="00F043E0">
        <w:rPr>
          <w:rFonts w:ascii="Verdana" w:hAnsi="Verdana"/>
        </w:rPr>
        <w:t xml:space="preserve">2019 </w:t>
      </w:r>
      <w:r w:rsidR="00F043E0">
        <w:rPr>
          <w:rFonts w:ascii="Verdana" w:hAnsi="Verdana"/>
        </w:rPr>
        <w:t xml:space="preserve"> </w:t>
      </w:r>
      <w:r w:rsidRPr="00F043E0">
        <w:rPr>
          <w:rFonts w:ascii="Verdana" w:hAnsi="Verdana"/>
        </w:rPr>
        <w:t>=</w:t>
      </w:r>
      <w:r w:rsidR="00F043E0" w:rsidRPr="00F043E0">
        <w:rPr>
          <w:rFonts w:ascii="Verdana" w:hAnsi="Verdana"/>
        </w:rPr>
        <w:t xml:space="preserve"> 0,4687 soit 46,87% </w:t>
      </w:r>
      <w:r w:rsidR="00F043E0">
        <w:rPr>
          <w:rFonts w:ascii="Verdana" w:hAnsi="Verdana"/>
        </w:rPr>
        <w:t>sans produit de vente cette année.</w:t>
      </w:r>
    </w:p>
    <w:p w14:paraId="4E24AC9C" w14:textId="77777777" w:rsidR="00F043E0" w:rsidRDefault="00F043E0" w:rsidP="00AA029B">
      <w:pPr>
        <w:pStyle w:val="ListParagraph"/>
        <w:tabs>
          <w:tab w:val="left" w:pos="851"/>
        </w:tabs>
        <w:ind w:left="851" w:right="-567"/>
        <w:jc w:val="both"/>
        <w:rPr>
          <w:rFonts w:ascii="Verdana" w:hAnsi="Verdana"/>
        </w:rPr>
      </w:pPr>
    </w:p>
    <w:p w14:paraId="709F969D" w14:textId="1B11013A" w:rsidR="00F043E0" w:rsidRPr="00F043E0" w:rsidRDefault="00F043E0" w:rsidP="00AA029B">
      <w:pPr>
        <w:pStyle w:val="ListParagraph"/>
        <w:tabs>
          <w:tab w:val="left" w:pos="851"/>
        </w:tabs>
        <w:ind w:left="851" w:right="-567"/>
        <w:jc w:val="both"/>
        <w:rPr>
          <w:rFonts w:ascii="Verdana" w:hAnsi="Verdana"/>
          <w:b/>
          <w:bCs/>
        </w:rPr>
      </w:pPr>
      <w:r w:rsidRPr="00F043E0">
        <w:rPr>
          <w:rFonts w:ascii="Verdana" w:hAnsi="Verdana"/>
          <w:b/>
          <w:bCs/>
        </w:rPr>
        <w:t>Ratio de rigidité le meilleur depuis 201</w:t>
      </w:r>
      <w:r>
        <w:rPr>
          <w:rFonts w:ascii="Verdana" w:hAnsi="Verdana"/>
          <w:b/>
          <w:bCs/>
        </w:rPr>
        <w:t>3</w:t>
      </w:r>
    </w:p>
    <w:p w14:paraId="371A8BD5" w14:textId="77777777" w:rsidR="009B41EC" w:rsidRPr="0074239F" w:rsidRDefault="009B41EC" w:rsidP="00AA029B">
      <w:pPr>
        <w:pStyle w:val="ListParagraph"/>
        <w:tabs>
          <w:tab w:val="left" w:pos="851"/>
        </w:tabs>
        <w:ind w:left="851" w:right="-567"/>
        <w:jc w:val="both"/>
        <w:rPr>
          <w:rFonts w:ascii="Verdana" w:hAnsi="Verdana"/>
          <w:b/>
        </w:rPr>
      </w:pPr>
    </w:p>
    <w:p w14:paraId="31F5BF8B" w14:textId="36C19B77" w:rsidR="00412B52" w:rsidRPr="00F043E0" w:rsidRDefault="00F043E0" w:rsidP="00F043E0">
      <w:pPr>
        <w:ind w:left="851" w:right="-567"/>
        <w:jc w:val="both"/>
        <w:rPr>
          <w:rFonts w:ascii="Verdana" w:hAnsi="Verdana"/>
        </w:rPr>
      </w:pPr>
      <w:r w:rsidRPr="00F043E0">
        <w:rPr>
          <w:rFonts w:ascii="Verdana" w:hAnsi="Verdana"/>
        </w:rPr>
        <w:t xml:space="preserve">Ce ratio est très </w:t>
      </w:r>
      <w:r w:rsidR="00412B52" w:rsidRPr="00F043E0">
        <w:rPr>
          <w:rFonts w:ascii="Verdana" w:hAnsi="Verdana"/>
        </w:rPr>
        <w:t>confortable par rapport à la moyenne d</w:t>
      </w:r>
      <w:r w:rsidR="00AA029B" w:rsidRPr="00F043E0">
        <w:rPr>
          <w:rFonts w:ascii="Verdana" w:hAnsi="Verdana"/>
        </w:rPr>
        <w:t xml:space="preserve">es collectivités de même taille qui est de </w:t>
      </w:r>
      <w:r w:rsidR="00AA029B" w:rsidRPr="00F043E0">
        <w:rPr>
          <w:rFonts w:ascii="Verdana" w:hAnsi="Verdana"/>
          <w:b/>
        </w:rPr>
        <w:t>0,62</w:t>
      </w:r>
      <w:r w:rsidR="00AA029B" w:rsidRPr="00F043E0">
        <w:rPr>
          <w:rFonts w:ascii="Verdana" w:hAnsi="Verdana"/>
        </w:rPr>
        <w:t>.</w:t>
      </w:r>
    </w:p>
    <w:p w14:paraId="3BC1F5FD" w14:textId="77777777" w:rsidR="00AA029B" w:rsidRDefault="00AA029B" w:rsidP="00314473">
      <w:pPr>
        <w:pStyle w:val="ListParagraph"/>
        <w:ind w:left="851" w:right="-567"/>
        <w:jc w:val="both"/>
        <w:rPr>
          <w:rFonts w:ascii="Verdana" w:hAnsi="Verdana"/>
        </w:rPr>
      </w:pPr>
    </w:p>
    <w:p w14:paraId="1B06B11F" w14:textId="77777777" w:rsidR="00AA029B" w:rsidRDefault="00AA029B" w:rsidP="00314473">
      <w:pPr>
        <w:pStyle w:val="ListParagraph"/>
        <w:ind w:left="851" w:right="-567"/>
        <w:jc w:val="both"/>
        <w:rPr>
          <w:rFonts w:ascii="Verdana" w:hAnsi="Verdana"/>
        </w:rPr>
      </w:pPr>
      <w:r>
        <w:rPr>
          <w:rFonts w:ascii="Verdana" w:hAnsi="Verdana"/>
        </w:rPr>
        <w:t xml:space="preserve">Le seuil d’alerte est dépassé pour les communes de plus de 2 000 habitants lorsque ce ratio est de </w:t>
      </w:r>
      <w:r w:rsidRPr="00AA029B">
        <w:rPr>
          <w:rFonts w:ascii="Verdana" w:hAnsi="Verdana"/>
          <w:b/>
        </w:rPr>
        <w:t>1,8</w:t>
      </w:r>
      <w:r>
        <w:rPr>
          <w:rFonts w:ascii="Verdana" w:hAnsi="Verdana"/>
        </w:rPr>
        <w:t>.</w:t>
      </w:r>
    </w:p>
    <w:p w14:paraId="6AC5AD4E" w14:textId="77777777" w:rsidR="00412B52" w:rsidRDefault="00412B52" w:rsidP="00314473">
      <w:pPr>
        <w:pStyle w:val="ListParagraph"/>
        <w:ind w:left="851" w:right="-567"/>
        <w:jc w:val="both"/>
        <w:rPr>
          <w:rFonts w:ascii="Verdana" w:hAnsi="Verdana"/>
        </w:rPr>
      </w:pPr>
    </w:p>
    <w:p w14:paraId="57EC8470" w14:textId="27A1A404" w:rsidR="00F043E0" w:rsidRDefault="009625CA" w:rsidP="00F043E0">
      <w:pPr>
        <w:ind w:left="708" w:right="-567"/>
        <w:jc w:val="both"/>
        <w:rPr>
          <w:rFonts w:ascii="Verdana" w:hAnsi="Verdana"/>
        </w:rPr>
      </w:pPr>
      <w:r w:rsidRPr="009242BB">
        <w:rPr>
          <w:rFonts w:ascii="Verdana" w:hAnsi="Verdana"/>
        </w:rPr>
        <w:t>La maîtrise des dépenses de personnel</w:t>
      </w:r>
      <w:r w:rsidR="0074239F" w:rsidRPr="009242BB">
        <w:rPr>
          <w:rFonts w:ascii="Verdana" w:hAnsi="Verdana"/>
        </w:rPr>
        <w:t xml:space="preserve"> et des charges générales</w:t>
      </w:r>
      <w:r w:rsidR="009B2911" w:rsidRPr="009242BB">
        <w:rPr>
          <w:rFonts w:ascii="Verdana" w:hAnsi="Verdana"/>
        </w:rPr>
        <w:t>,</w:t>
      </w:r>
      <w:r w:rsidRPr="009242BB">
        <w:rPr>
          <w:rFonts w:ascii="Verdana" w:hAnsi="Verdana"/>
        </w:rPr>
        <w:t xml:space="preserve"> la diminution de l’endettement</w:t>
      </w:r>
      <w:r w:rsidR="0074239F" w:rsidRPr="009242BB">
        <w:rPr>
          <w:rFonts w:ascii="Verdana" w:hAnsi="Verdana"/>
        </w:rPr>
        <w:t xml:space="preserve"> associées à la recherche de financement en </w:t>
      </w:r>
      <w:r w:rsidRPr="009242BB">
        <w:rPr>
          <w:rFonts w:ascii="Verdana" w:hAnsi="Verdana"/>
        </w:rPr>
        <w:t>201</w:t>
      </w:r>
      <w:r w:rsidR="00F043E0">
        <w:rPr>
          <w:rFonts w:ascii="Verdana" w:hAnsi="Verdana"/>
        </w:rPr>
        <w:t>9</w:t>
      </w:r>
      <w:r w:rsidR="0074239F" w:rsidRPr="009242BB">
        <w:rPr>
          <w:rFonts w:ascii="Verdana" w:hAnsi="Verdana"/>
        </w:rPr>
        <w:t>, permettent de garder un</w:t>
      </w:r>
      <w:r w:rsidR="009B2911" w:rsidRPr="009242BB">
        <w:rPr>
          <w:rFonts w:ascii="Verdana" w:hAnsi="Verdana"/>
        </w:rPr>
        <w:t xml:space="preserve"> ratio de rigidité </w:t>
      </w:r>
      <w:r w:rsidR="00F043E0">
        <w:rPr>
          <w:rFonts w:ascii="Verdana" w:hAnsi="Verdana"/>
        </w:rPr>
        <w:t>très appréciable</w:t>
      </w:r>
      <w:r w:rsidR="0074239F" w:rsidRPr="009242BB">
        <w:rPr>
          <w:rFonts w:ascii="Verdana" w:hAnsi="Verdana"/>
        </w:rPr>
        <w:t xml:space="preserve"> </w:t>
      </w:r>
      <w:r w:rsidR="00657E77" w:rsidRPr="009242BB">
        <w:rPr>
          <w:rFonts w:ascii="Verdana" w:hAnsi="Verdana"/>
        </w:rPr>
        <w:t xml:space="preserve">qui </w:t>
      </w:r>
      <w:r w:rsidR="00F043E0">
        <w:rPr>
          <w:rFonts w:ascii="Verdana" w:hAnsi="Verdana"/>
        </w:rPr>
        <w:t xml:space="preserve">depuis 10 ans </w:t>
      </w:r>
      <w:r w:rsidR="009B2911" w:rsidRPr="009242BB">
        <w:rPr>
          <w:rFonts w:ascii="Verdana" w:hAnsi="Verdana"/>
        </w:rPr>
        <w:t>se maintient</w:t>
      </w:r>
      <w:r w:rsidR="0074239F" w:rsidRPr="009242BB">
        <w:rPr>
          <w:rFonts w:ascii="Verdana" w:hAnsi="Verdana"/>
        </w:rPr>
        <w:t xml:space="preserve"> très nettement en dessous de la moyenne des communes de même strate</w:t>
      </w:r>
      <w:r w:rsidR="009B2911" w:rsidRPr="009242BB">
        <w:rPr>
          <w:rFonts w:ascii="Verdana" w:hAnsi="Verdana"/>
        </w:rPr>
        <w:t xml:space="preserve">. </w:t>
      </w:r>
    </w:p>
    <w:p w14:paraId="712AFE4C" w14:textId="5331C06A" w:rsidR="009625CA" w:rsidRPr="009242BB" w:rsidRDefault="009B2911" w:rsidP="00F043E0">
      <w:pPr>
        <w:ind w:left="708" w:right="-567"/>
        <w:jc w:val="both"/>
        <w:rPr>
          <w:rFonts w:ascii="Verdana" w:hAnsi="Verdana"/>
        </w:rPr>
      </w:pPr>
      <w:r w:rsidRPr="009242BB">
        <w:rPr>
          <w:rFonts w:ascii="Verdana" w:hAnsi="Verdana"/>
        </w:rPr>
        <w:t xml:space="preserve">Ceci permet de garder </w:t>
      </w:r>
      <w:r w:rsidR="0074239F" w:rsidRPr="009242BB">
        <w:rPr>
          <w:rFonts w:ascii="Verdana" w:hAnsi="Verdana"/>
        </w:rPr>
        <w:t xml:space="preserve">encore </w:t>
      </w:r>
      <w:r w:rsidRPr="009242BB">
        <w:rPr>
          <w:rFonts w:ascii="Verdana" w:hAnsi="Verdana"/>
        </w:rPr>
        <w:t xml:space="preserve">des marges de manœuvre budgétaires dans un contexte financier </w:t>
      </w:r>
      <w:r w:rsidR="00F043E0">
        <w:rPr>
          <w:rFonts w:ascii="Verdana" w:hAnsi="Verdana"/>
        </w:rPr>
        <w:t>contraint</w:t>
      </w:r>
      <w:r w:rsidRPr="009242BB">
        <w:rPr>
          <w:rFonts w:ascii="Verdana" w:hAnsi="Verdana"/>
        </w:rPr>
        <w:t>.</w:t>
      </w:r>
    </w:p>
    <w:p w14:paraId="2B3B0B4F" w14:textId="4D19994B" w:rsidR="00255847" w:rsidRPr="00F043E0" w:rsidRDefault="005265F1" w:rsidP="00F043E0">
      <w:pPr>
        <w:ind w:left="708" w:right="-567"/>
        <w:jc w:val="both"/>
        <w:rPr>
          <w:rFonts w:ascii="Verdana" w:hAnsi="Verdana"/>
        </w:rPr>
      </w:pPr>
      <w:r w:rsidRPr="00F043E0">
        <w:rPr>
          <w:rFonts w:ascii="Verdana" w:hAnsi="Verdana"/>
        </w:rPr>
        <w:t>Ce ratio</w:t>
      </w:r>
      <w:r w:rsidR="00255847" w:rsidRPr="00F043E0">
        <w:rPr>
          <w:rFonts w:ascii="Verdana" w:hAnsi="Verdana"/>
        </w:rPr>
        <w:t xml:space="preserve"> nous montre la « bonne santé » financière de la commune, qui comparée à d’autres communes de la Métropole voit ses finances garder une stabilité dans le temps, et ce malgré la baisse des recettes et les ponctions budgétaires de l’Etat.</w:t>
      </w:r>
      <w:r w:rsidR="00657E77" w:rsidRPr="00F043E0">
        <w:rPr>
          <w:rFonts w:ascii="Verdana" w:hAnsi="Verdana"/>
        </w:rPr>
        <w:t xml:space="preserve"> Cependant il nous est impératif de réaliser encore des économies en fonctionnement pour garder ces marges de manœuvre. Ce sera l’objectif donné aux services municipaux pour les trois ans à venir</w:t>
      </w:r>
      <w:r w:rsidR="00F043E0">
        <w:rPr>
          <w:rFonts w:ascii="Verdana" w:hAnsi="Verdana"/>
        </w:rPr>
        <w:t xml:space="preserve"> avec la mise en place du PPF.</w:t>
      </w:r>
    </w:p>
    <w:p w14:paraId="132DA67A" w14:textId="77777777" w:rsidR="00255847" w:rsidRDefault="00255847" w:rsidP="00255847">
      <w:pPr>
        <w:ind w:right="-567"/>
        <w:jc w:val="both"/>
        <w:rPr>
          <w:rFonts w:ascii="Verdana" w:hAnsi="Verdana"/>
        </w:rPr>
      </w:pPr>
    </w:p>
    <w:p w14:paraId="2E7B58B7" w14:textId="77777777" w:rsidR="00000A77" w:rsidRPr="0074239F" w:rsidRDefault="00000A77" w:rsidP="00BB6C75">
      <w:pPr>
        <w:ind w:left="143" w:right="-567" w:firstLine="708"/>
        <w:jc w:val="both"/>
        <w:rPr>
          <w:rFonts w:ascii="Verdana" w:hAnsi="Verdana"/>
        </w:rPr>
      </w:pPr>
      <w:r w:rsidRPr="0074239F">
        <w:rPr>
          <w:rFonts w:ascii="Verdana" w:hAnsi="Verdana"/>
        </w:rPr>
        <w:t>Produits de fonctionnement</w:t>
      </w:r>
      <w:r w:rsidR="005265F1">
        <w:rPr>
          <w:rFonts w:ascii="Verdana" w:hAnsi="Verdana"/>
        </w:rPr>
        <w:t xml:space="preserve"> totaux (réels et d’ordre)</w:t>
      </w:r>
      <w:r w:rsidRPr="0074239F">
        <w:rPr>
          <w:rFonts w:ascii="Verdana" w:hAnsi="Verdana"/>
        </w:rPr>
        <w:t> :</w:t>
      </w:r>
    </w:p>
    <w:p w14:paraId="1162B90B" w14:textId="77777777" w:rsidR="001327CF" w:rsidRDefault="009B41EC" w:rsidP="001327CF">
      <w:pPr>
        <w:pStyle w:val="ListParagraph"/>
        <w:ind w:left="851" w:right="-567"/>
        <w:jc w:val="both"/>
        <w:rPr>
          <w:rFonts w:ascii="Verdana" w:hAnsi="Verdana"/>
          <w:color w:val="0066FF"/>
        </w:rPr>
      </w:pPr>
      <w:r w:rsidRPr="00F421C1">
        <w:rPr>
          <w:rFonts w:ascii="Verdana" w:hAnsi="Verdana"/>
          <w:color w:val="0066FF"/>
        </w:rPr>
        <w:t xml:space="preserve">2018 </w:t>
      </w:r>
      <w:r w:rsidR="0009197D" w:rsidRPr="00F421C1">
        <w:rPr>
          <w:rFonts w:ascii="Verdana" w:hAnsi="Verdana"/>
          <w:color w:val="0066FF"/>
        </w:rPr>
        <w:t>=</w:t>
      </w:r>
      <w:r w:rsidR="00657E77" w:rsidRPr="00F421C1">
        <w:rPr>
          <w:rFonts w:ascii="Verdana" w:hAnsi="Verdana"/>
          <w:color w:val="0066FF"/>
        </w:rPr>
        <w:t xml:space="preserve"> </w:t>
      </w:r>
      <w:r w:rsidR="006D4562">
        <w:rPr>
          <w:rFonts w:ascii="Verdana" w:hAnsi="Verdana"/>
          <w:color w:val="0066FF"/>
        </w:rPr>
        <w:t>7 207 218</w:t>
      </w:r>
      <w:r w:rsidRPr="00F421C1">
        <w:rPr>
          <w:rFonts w:ascii="Verdana" w:hAnsi="Verdana"/>
          <w:color w:val="0066FF"/>
        </w:rPr>
        <w:t xml:space="preserve"> € </w:t>
      </w:r>
      <w:r w:rsidR="006D4562">
        <w:rPr>
          <w:rFonts w:ascii="Verdana" w:hAnsi="Verdana"/>
          <w:color w:val="0066FF"/>
        </w:rPr>
        <w:t>avec les produits exceptionnels</w:t>
      </w:r>
    </w:p>
    <w:p w14:paraId="53148A69" w14:textId="1C0D0278" w:rsidR="00F421C1" w:rsidRDefault="00F043E0" w:rsidP="00BB6C75">
      <w:pPr>
        <w:pStyle w:val="ListParagraph"/>
        <w:ind w:left="851" w:right="-567"/>
        <w:jc w:val="both"/>
        <w:rPr>
          <w:rFonts w:ascii="Verdana" w:hAnsi="Verdana"/>
        </w:rPr>
      </w:pPr>
      <w:r w:rsidRPr="001327CF">
        <w:rPr>
          <w:rFonts w:ascii="Verdana" w:hAnsi="Verdana"/>
        </w:rPr>
        <w:t xml:space="preserve">2019 = </w:t>
      </w:r>
      <w:r w:rsidR="00416D29" w:rsidRPr="001327CF">
        <w:rPr>
          <w:rFonts w:ascii="Verdana" w:hAnsi="Verdana"/>
        </w:rPr>
        <w:t>6 804 685 €</w:t>
      </w:r>
      <w:r w:rsidR="001327CF">
        <w:rPr>
          <w:rFonts w:ascii="Verdana" w:hAnsi="Verdana"/>
        </w:rPr>
        <w:t xml:space="preserve"> </w:t>
      </w:r>
    </w:p>
    <w:p w14:paraId="3A246CD1" w14:textId="16A8BB19" w:rsidR="00BB6C75" w:rsidRDefault="00BB6C75" w:rsidP="00BB6C75">
      <w:pPr>
        <w:pStyle w:val="ListParagraph"/>
        <w:ind w:left="851" w:right="-567"/>
        <w:jc w:val="both"/>
        <w:rPr>
          <w:rFonts w:ascii="Verdana" w:hAnsi="Verdana"/>
          <w:color w:val="0066FF"/>
        </w:rPr>
      </w:pPr>
    </w:p>
    <w:p w14:paraId="621E7962" w14:textId="4623937F" w:rsidR="00E221C2" w:rsidRDefault="00E221C2" w:rsidP="00BB6C75">
      <w:pPr>
        <w:pStyle w:val="ListParagraph"/>
        <w:ind w:left="851" w:right="-567"/>
        <w:jc w:val="both"/>
        <w:rPr>
          <w:rFonts w:ascii="Verdana" w:hAnsi="Verdana"/>
          <w:color w:val="0066FF"/>
        </w:rPr>
      </w:pPr>
    </w:p>
    <w:p w14:paraId="5DDE4261" w14:textId="32A57BE0" w:rsidR="00E221C2" w:rsidRDefault="00E221C2" w:rsidP="00BB6C75">
      <w:pPr>
        <w:pStyle w:val="ListParagraph"/>
        <w:ind w:left="851" w:right="-567"/>
        <w:jc w:val="both"/>
        <w:rPr>
          <w:rFonts w:ascii="Verdana" w:hAnsi="Verdana"/>
          <w:color w:val="0066FF"/>
        </w:rPr>
      </w:pPr>
    </w:p>
    <w:p w14:paraId="118E04CA" w14:textId="105A66A5" w:rsidR="00E221C2" w:rsidRDefault="00E221C2" w:rsidP="00BB6C75">
      <w:pPr>
        <w:pStyle w:val="ListParagraph"/>
        <w:ind w:left="851" w:right="-567"/>
        <w:jc w:val="both"/>
        <w:rPr>
          <w:rFonts w:ascii="Verdana" w:hAnsi="Verdana"/>
          <w:color w:val="0066FF"/>
        </w:rPr>
      </w:pPr>
    </w:p>
    <w:p w14:paraId="77207053" w14:textId="32821CAF" w:rsidR="00E221C2" w:rsidRDefault="00E221C2" w:rsidP="00BB6C75">
      <w:pPr>
        <w:pStyle w:val="ListParagraph"/>
        <w:ind w:left="851" w:right="-567"/>
        <w:jc w:val="both"/>
        <w:rPr>
          <w:rFonts w:ascii="Verdana" w:hAnsi="Verdana"/>
          <w:color w:val="0066FF"/>
        </w:rPr>
      </w:pPr>
    </w:p>
    <w:p w14:paraId="44933B38" w14:textId="77777777" w:rsidR="00E221C2" w:rsidRPr="00BB6C75" w:rsidRDefault="00E221C2" w:rsidP="00BB6C75">
      <w:pPr>
        <w:pStyle w:val="ListParagraph"/>
        <w:ind w:left="851" w:right="-567"/>
        <w:jc w:val="both"/>
        <w:rPr>
          <w:rFonts w:ascii="Verdana" w:hAnsi="Verdana"/>
          <w:color w:val="0066FF"/>
        </w:rPr>
      </w:pPr>
    </w:p>
    <w:p w14:paraId="560ECD43" w14:textId="77777777" w:rsidR="00F421C1" w:rsidRDefault="00F421C1" w:rsidP="00314473">
      <w:pPr>
        <w:pStyle w:val="ListParagraph"/>
        <w:ind w:left="851" w:right="-567"/>
        <w:jc w:val="both"/>
        <w:rPr>
          <w:rFonts w:ascii="Verdana" w:hAnsi="Verdana"/>
          <w:b/>
        </w:rPr>
      </w:pPr>
    </w:p>
    <w:p w14:paraId="10E56B7E" w14:textId="30C646F3" w:rsidR="005265F1" w:rsidRPr="00656C29" w:rsidRDefault="00B5638B" w:rsidP="005265F1">
      <w:pPr>
        <w:pStyle w:val="ListParagraph"/>
        <w:pBdr>
          <w:top w:val="single" w:sz="4" w:space="1" w:color="auto"/>
          <w:left w:val="single" w:sz="4" w:space="4" w:color="auto"/>
          <w:bottom w:val="single" w:sz="4" w:space="1" w:color="auto"/>
          <w:right w:val="single" w:sz="4" w:space="4" w:color="auto"/>
        </w:pBdr>
        <w:ind w:left="851" w:right="-567"/>
        <w:jc w:val="center"/>
        <w:rPr>
          <w:rFonts w:ascii="Verdana" w:hAnsi="Verdana"/>
          <w:b/>
        </w:rPr>
      </w:pPr>
      <w:r w:rsidRPr="00656C29">
        <w:rPr>
          <w:rFonts w:ascii="Verdana" w:hAnsi="Verdana"/>
          <w:b/>
        </w:rPr>
        <w:t xml:space="preserve">Résultats des produits </w:t>
      </w:r>
      <w:r w:rsidR="00656C29" w:rsidRPr="00656C29">
        <w:rPr>
          <w:rFonts w:ascii="Verdana" w:hAnsi="Verdana"/>
          <w:b/>
        </w:rPr>
        <w:t>de fonctionnement courant</w:t>
      </w:r>
      <w:r w:rsidR="00314473" w:rsidRPr="00656C29">
        <w:rPr>
          <w:rFonts w:ascii="Verdana" w:hAnsi="Verdana"/>
          <w:b/>
        </w:rPr>
        <w:t xml:space="preserve"> </w:t>
      </w:r>
      <w:r w:rsidRPr="00656C29">
        <w:rPr>
          <w:rFonts w:ascii="Verdana" w:hAnsi="Verdana"/>
          <w:b/>
        </w:rPr>
        <w:t>201</w:t>
      </w:r>
      <w:r w:rsidR="00416D29">
        <w:rPr>
          <w:rFonts w:ascii="Verdana" w:hAnsi="Verdana"/>
          <w:b/>
        </w:rPr>
        <w:t>9</w:t>
      </w:r>
      <w:r w:rsidR="005265F1" w:rsidRPr="00656C29">
        <w:rPr>
          <w:rFonts w:ascii="Verdana" w:hAnsi="Verdana"/>
          <w:b/>
        </w:rPr>
        <w:t xml:space="preserve"> (hors opérations d’ordre)</w:t>
      </w:r>
    </w:p>
    <w:p w14:paraId="4C5986AE" w14:textId="1502541C" w:rsidR="00656C29" w:rsidRPr="00656C29" w:rsidRDefault="00162504" w:rsidP="00656C29">
      <w:pPr>
        <w:pStyle w:val="ListParagraph"/>
        <w:pBdr>
          <w:top w:val="single" w:sz="4" w:space="1" w:color="auto"/>
          <w:left w:val="single" w:sz="4" w:space="4" w:color="auto"/>
          <w:bottom w:val="single" w:sz="4" w:space="1" w:color="auto"/>
          <w:right w:val="single" w:sz="4" w:space="4" w:color="auto"/>
        </w:pBdr>
        <w:ind w:left="851" w:right="-567"/>
        <w:jc w:val="center"/>
        <w:rPr>
          <w:rFonts w:ascii="Verdana" w:hAnsi="Verdana"/>
          <w:b/>
        </w:rPr>
      </w:pPr>
      <w:r>
        <w:rPr>
          <w:rFonts w:ascii="Verdana" w:hAnsi="Verdana"/>
          <w:b/>
        </w:rPr>
        <w:t xml:space="preserve">=  </w:t>
      </w:r>
      <w:r w:rsidR="00314473">
        <w:rPr>
          <w:rFonts w:ascii="Verdana" w:hAnsi="Verdana"/>
          <w:b/>
        </w:rPr>
        <w:t xml:space="preserve"> </w:t>
      </w:r>
      <w:r w:rsidR="00416D29">
        <w:rPr>
          <w:rFonts w:ascii="Verdana" w:hAnsi="Verdana"/>
          <w:b/>
        </w:rPr>
        <w:t>6 751 399</w:t>
      </w:r>
      <w:r w:rsidR="00656C29">
        <w:rPr>
          <w:rFonts w:ascii="Verdana" w:hAnsi="Verdana"/>
          <w:b/>
        </w:rPr>
        <w:t xml:space="preserve"> </w:t>
      </w:r>
      <w:r w:rsidR="00314473">
        <w:rPr>
          <w:rFonts w:ascii="Verdana" w:hAnsi="Verdana"/>
          <w:b/>
        </w:rPr>
        <w:t>€</w:t>
      </w:r>
      <w:r w:rsidR="00656C29">
        <w:rPr>
          <w:rFonts w:ascii="Verdana" w:hAnsi="Verdana"/>
          <w:b/>
        </w:rPr>
        <w:t xml:space="preserve"> (201</w:t>
      </w:r>
      <w:r w:rsidR="00416D29">
        <w:rPr>
          <w:rFonts w:ascii="Verdana" w:hAnsi="Verdana"/>
          <w:b/>
        </w:rPr>
        <w:t>8</w:t>
      </w:r>
      <w:r w:rsidR="00656C29">
        <w:rPr>
          <w:rFonts w:ascii="Verdana" w:hAnsi="Verdana"/>
          <w:b/>
        </w:rPr>
        <w:t xml:space="preserve"> = </w:t>
      </w:r>
      <w:r w:rsidR="00416D29">
        <w:rPr>
          <w:rFonts w:ascii="Verdana" w:hAnsi="Verdana"/>
          <w:b/>
        </w:rPr>
        <w:t xml:space="preserve">6 454 464 </w:t>
      </w:r>
      <w:r w:rsidR="00656C29">
        <w:rPr>
          <w:rFonts w:ascii="Verdana" w:hAnsi="Verdana"/>
          <w:b/>
        </w:rPr>
        <w:t>€)</w:t>
      </w:r>
      <w:r w:rsidR="00416D29">
        <w:rPr>
          <w:rFonts w:ascii="Verdana" w:hAnsi="Verdana"/>
          <w:b/>
        </w:rPr>
        <w:t xml:space="preserve"> +4,6%</w:t>
      </w:r>
    </w:p>
    <w:p w14:paraId="2190AD1C" w14:textId="77777777" w:rsidR="00FF00E3" w:rsidRDefault="00FF00E3" w:rsidP="00314473">
      <w:pPr>
        <w:pStyle w:val="ListParagraph"/>
        <w:ind w:left="851" w:right="-567"/>
        <w:jc w:val="both"/>
        <w:rPr>
          <w:rFonts w:ascii="Verdana" w:hAnsi="Verdana"/>
          <w:b/>
        </w:rPr>
      </w:pPr>
    </w:p>
    <w:p w14:paraId="464DD43A" w14:textId="77777777" w:rsidR="0004673C" w:rsidRDefault="0004673C" w:rsidP="00314473">
      <w:pPr>
        <w:pStyle w:val="ListParagraph"/>
        <w:ind w:left="851" w:right="-567"/>
        <w:jc w:val="both"/>
        <w:rPr>
          <w:rFonts w:ascii="Verdana" w:hAnsi="Verdana"/>
        </w:rPr>
      </w:pPr>
    </w:p>
    <w:p w14:paraId="7A34087D" w14:textId="77777777" w:rsidR="00B5638B" w:rsidRPr="00416D29" w:rsidRDefault="0004673C" w:rsidP="00416D29">
      <w:pPr>
        <w:ind w:right="-567" w:firstLine="708"/>
        <w:jc w:val="both"/>
        <w:rPr>
          <w:rFonts w:ascii="Verdana" w:hAnsi="Verdana"/>
        </w:rPr>
      </w:pPr>
      <w:r w:rsidRPr="00416D29">
        <w:rPr>
          <w:rFonts w:ascii="Verdana" w:hAnsi="Verdana"/>
        </w:rPr>
        <w:t>Dont les plus importants :</w:t>
      </w:r>
    </w:p>
    <w:p w14:paraId="3936A1BD" w14:textId="77777777" w:rsidR="0004673C" w:rsidRDefault="0004673C" w:rsidP="00314473">
      <w:pPr>
        <w:pStyle w:val="ListParagraph"/>
        <w:ind w:left="851" w:right="-567"/>
        <w:jc w:val="both"/>
        <w:rPr>
          <w:rFonts w:ascii="Verdana" w:hAnsi="Verdana"/>
          <w:b/>
          <w:i/>
        </w:rPr>
      </w:pPr>
    </w:p>
    <w:p w14:paraId="7FE7B316" w14:textId="4E0430C9" w:rsidR="00B5638B" w:rsidRPr="00622D8B" w:rsidRDefault="009D1BC5" w:rsidP="00622D8B">
      <w:pPr>
        <w:ind w:left="143" w:right="-567" w:firstLine="708"/>
        <w:jc w:val="both"/>
        <w:rPr>
          <w:rFonts w:ascii="Verdana" w:hAnsi="Verdana"/>
          <w:i/>
          <w:sz w:val="20"/>
          <w:szCs w:val="20"/>
        </w:rPr>
      </w:pPr>
      <w:r w:rsidRPr="00622D8B">
        <w:rPr>
          <w:rFonts w:ascii="Verdana" w:hAnsi="Verdana"/>
          <w:b/>
          <w:i/>
        </w:rPr>
        <w:t xml:space="preserve">Impôts et taxes </w:t>
      </w:r>
      <w:r w:rsidRPr="00622D8B">
        <w:rPr>
          <w:rFonts w:ascii="Verdana" w:hAnsi="Verdana"/>
          <w:b/>
          <w:i/>
        </w:rPr>
        <w:tab/>
      </w:r>
      <w:r w:rsidRPr="00622D8B">
        <w:rPr>
          <w:rFonts w:ascii="Verdana" w:hAnsi="Verdana"/>
          <w:b/>
          <w:i/>
        </w:rPr>
        <w:tab/>
      </w:r>
      <w:r w:rsidRPr="00622D8B">
        <w:rPr>
          <w:rFonts w:ascii="Verdana" w:hAnsi="Verdana"/>
          <w:b/>
          <w:i/>
        </w:rPr>
        <w:tab/>
      </w:r>
      <w:r w:rsidR="00B5638B" w:rsidRPr="00622D8B">
        <w:rPr>
          <w:rFonts w:ascii="Verdana" w:hAnsi="Verdana"/>
          <w:b/>
          <w:i/>
        </w:rPr>
        <w:t xml:space="preserve">= </w:t>
      </w:r>
      <w:r w:rsidR="00656C29">
        <w:rPr>
          <w:rFonts w:ascii="Verdana" w:hAnsi="Verdana"/>
          <w:b/>
          <w:i/>
        </w:rPr>
        <w:t>4</w:t>
      </w:r>
      <w:r w:rsidR="001327CF">
        <w:rPr>
          <w:rFonts w:ascii="Verdana" w:hAnsi="Verdana"/>
          <w:b/>
          <w:i/>
        </w:rPr>
        <w:t> 902 371</w:t>
      </w:r>
      <w:r w:rsidR="00656C29">
        <w:rPr>
          <w:rFonts w:ascii="Verdana" w:hAnsi="Verdana"/>
          <w:b/>
          <w:i/>
        </w:rPr>
        <w:t xml:space="preserve"> € </w:t>
      </w:r>
      <w:r w:rsidR="00656C29" w:rsidRPr="00656C29">
        <w:rPr>
          <w:rFonts w:ascii="Verdana" w:hAnsi="Verdana"/>
          <w:i/>
        </w:rPr>
        <w:t>(20</w:t>
      </w:r>
      <w:r w:rsidR="001327CF">
        <w:rPr>
          <w:rFonts w:ascii="Verdana" w:hAnsi="Verdana"/>
          <w:i/>
        </w:rPr>
        <w:t>18</w:t>
      </w:r>
      <w:r w:rsidR="00656C29" w:rsidRPr="00656C29">
        <w:rPr>
          <w:rFonts w:ascii="Verdana" w:hAnsi="Verdana"/>
          <w:i/>
        </w:rPr>
        <w:t xml:space="preserve"> = </w:t>
      </w:r>
      <w:r w:rsidR="0004673C" w:rsidRPr="00656C29">
        <w:rPr>
          <w:rFonts w:ascii="Verdana" w:hAnsi="Verdana"/>
          <w:i/>
        </w:rPr>
        <w:t>4</w:t>
      </w:r>
      <w:r w:rsidR="001327CF">
        <w:rPr>
          <w:rFonts w:ascii="Verdana" w:hAnsi="Verdana"/>
          <w:i/>
        </w:rPr>
        <w:t> 854 788</w:t>
      </w:r>
      <w:r w:rsidR="0090753A" w:rsidRPr="00656C29">
        <w:rPr>
          <w:rFonts w:ascii="Verdana" w:hAnsi="Verdana"/>
          <w:i/>
        </w:rPr>
        <w:t xml:space="preserve"> €</w:t>
      </w:r>
      <w:r w:rsidR="00656C29" w:rsidRPr="00656C29">
        <w:rPr>
          <w:rFonts w:ascii="Verdana" w:hAnsi="Verdana"/>
          <w:i/>
        </w:rPr>
        <w:t>)</w:t>
      </w:r>
      <w:r w:rsidR="0090753A" w:rsidRPr="00622D8B">
        <w:rPr>
          <w:rFonts w:ascii="Verdana" w:hAnsi="Verdana"/>
          <w:b/>
          <w:i/>
        </w:rPr>
        <w:t xml:space="preserve"> </w:t>
      </w:r>
    </w:p>
    <w:p w14:paraId="76CE549D" w14:textId="0C4CB365" w:rsidR="00B5638B" w:rsidRDefault="0090753A" w:rsidP="00314473">
      <w:pPr>
        <w:pStyle w:val="ListParagraph"/>
        <w:ind w:left="851" w:right="-567"/>
        <w:jc w:val="both"/>
        <w:rPr>
          <w:rFonts w:ascii="Verdana" w:hAnsi="Verdana"/>
          <w:sz w:val="20"/>
          <w:szCs w:val="20"/>
        </w:rPr>
      </w:pPr>
      <w:r>
        <w:rPr>
          <w:rFonts w:ascii="Verdana" w:hAnsi="Verdana"/>
        </w:rPr>
        <w:t xml:space="preserve">Dont AC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B5638B" w:rsidRPr="007F7715">
        <w:rPr>
          <w:rFonts w:ascii="Verdana" w:hAnsi="Verdana"/>
        </w:rPr>
        <w:t xml:space="preserve">= </w:t>
      </w:r>
      <w:r w:rsidR="00656C29">
        <w:rPr>
          <w:rFonts w:ascii="Verdana" w:hAnsi="Verdana"/>
        </w:rPr>
        <w:t>2</w:t>
      </w:r>
      <w:r w:rsidR="001327CF">
        <w:rPr>
          <w:rFonts w:ascii="Verdana" w:hAnsi="Verdana"/>
        </w:rPr>
        <w:t> 194 651</w:t>
      </w:r>
      <w:r w:rsidR="00656C29">
        <w:rPr>
          <w:rFonts w:ascii="Verdana" w:hAnsi="Verdana"/>
        </w:rPr>
        <w:t xml:space="preserve"> €  </w:t>
      </w:r>
      <w:r w:rsidR="001327CF">
        <w:rPr>
          <w:rFonts w:ascii="Verdana" w:hAnsi="Verdana"/>
        </w:rPr>
        <w:t xml:space="preserve"> </w:t>
      </w:r>
      <w:r w:rsidR="00656C29">
        <w:rPr>
          <w:rFonts w:ascii="Verdana" w:hAnsi="Verdana"/>
        </w:rPr>
        <w:t>(201</w:t>
      </w:r>
      <w:r w:rsidR="001327CF">
        <w:rPr>
          <w:rFonts w:ascii="Verdana" w:hAnsi="Verdana"/>
        </w:rPr>
        <w:t>8</w:t>
      </w:r>
      <w:r w:rsidR="00656C29">
        <w:rPr>
          <w:rFonts w:ascii="Verdana" w:hAnsi="Verdana"/>
        </w:rPr>
        <w:t xml:space="preserve"> = </w:t>
      </w:r>
      <w:r w:rsidR="0004673C">
        <w:rPr>
          <w:rFonts w:ascii="Verdana" w:hAnsi="Verdana"/>
        </w:rPr>
        <w:t>2</w:t>
      </w:r>
      <w:r w:rsidR="001327CF">
        <w:rPr>
          <w:rFonts w:ascii="Verdana" w:hAnsi="Verdana"/>
        </w:rPr>
        <w:t> 231 410</w:t>
      </w:r>
      <w:r w:rsidR="007F7715" w:rsidRPr="007F7715">
        <w:rPr>
          <w:rFonts w:ascii="Verdana" w:hAnsi="Verdana"/>
        </w:rPr>
        <w:t xml:space="preserve"> €</w:t>
      </w:r>
      <w:r w:rsidR="00656C29">
        <w:rPr>
          <w:rFonts w:ascii="Verdana" w:hAnsi="Verdana"/>
        </w:rPr>
        <w:t>)</w:t>
      </w:r>
      <w:r w:rsidR="007F7715">
        <w:rPr>
          <w:rFonts w:ascii="Verdana" w:hAnsi="Verdana"/>
        </w:rPr>
        <w:t xml:space="preserve"> </w:t>
      </w:r>
      <w:r w:rsidR="0004673C">
        <w:rPr>
          <w:rFonts w:ascii="Verdana" w:hAnsi="Verdana"/>
        </w:rPr>
        <w:t xml:space="preserve"> </w:t>
      </w:r>
    </w:p>
    <w:p w14:paraId="64911487" w14:textId="21E8E881" w:rsidR="00F62AF1" w:rsidRPr="00F62AF1" w:rsidRDefault="009D1BC5" w:rsidP="00314473">
      <w:pPr>
        <w:pStyle w:val="ListParagraph"/>
        <w:ind w:left="851" w:right="-567"/>
        <w:jc w:val="both"/>
        <w:rPr>
          <w:rFonts w:ascii="Verdana" w:hAnsi="Verdana"/>
        </w:rPr>
      </w:pPr>
      <w:r>
        <w:rPr>
          <w:rFonts w:ascii="Verdana" w:hAnsi="Verdana"/>
        </w:rPr>
        <w:t>Dont dotation de solidarité</w:t>
      </w:r>
      <w:r>
        <w:rPr>
          <w:rFonts w:ascii="Verdana" w:hAnsi="Verdana"/>
        </w:rPr>
        <w:tab/>
      </w:r>
      <w:r>
        <w:rPr>
          <w:rFonts w:ascii="Verdana" w:hAnsi="Verdana"/>
        </w:rPr>
        <w:tab/>
      </w:r>
      <w:r w:rsidR="00F62AF1" w:rsidRPr="00F62AF1">
        <w:rPr>
          <w:rFonts w:ascii="Verdana" w:hAnsi="Verdana"/>
        </w:rPr>
        <w:t xml:space="preserve">= </w:t>
      </w:r>
      <w:r w:rsidR="00F62AF1">
        <w:rPr>
          <w:rFonts w:ascii="Verdana" w:hAnsi="Verdana"/>
        </w:rPr>
        <w:t xml:space="preserve">     </w:t>
      </w:r>
      <w:r w:rsidR="00F62AF1" w:rsidRPr="00F62AF1">
        <w:rPr>
          <w:rFonts w:ascii="Verdana" w:hAnsi="Verdana"/>
        </w:rPr>
        <w:t>83 977 €</w:t>
      </w:r>
      <w:r w:rsidR="00F62AF1">
        <w:rPr>
          <w:rFonts w:ascii="Verdana" w:hAnsi="Verdana"/>
        </w:rPr>
        <w:t xml:space="preserve"> </w:t>
      </w:r>
      <w:r w:rsidR="0004673C">
        <w:rPr>
          <w:rFonts w:ascii="Verdana" w:hAnsi="Verdana"/>
        </w:rPr>
        <w:t xml:space="preserve"> </w:t>
      </w:r>
      <w:r w:rsidR="00656C29">
        <w:rPr>
          <w:rFonts w:ascii="Verdana" w:hAnsi="Verdana"/>
        </w:rPr>
        <w:t xml:space="preserve"> (201</w:t>
      </w:r>
      <w:r w:rsidR="001327CF">
        <w:rPr>
          <w:rFonts w:ascii="Verdana" w:hAnsi="Verdana"/>
        </w:rPr>
        <w:t>8</w:t>
      </w:r>
      <w:r w:rsidR="00656C29">
        <w:rPr>
          <w:rFonts w:ascii="Verdana" w:hAnsi="Verdana"/>
        </w:rPr>
        <w:t xml:space="preserve"> = </w:t>
      </w:r>
      <w:r w:rsidR="001327CF">
        <w:rPr>
          <w:rFonts w:ascii="Verdana" w:hAnsi="Verdana"/>
        </w:rPr>
        <w:t xml:space="preserve">    </w:t>
      </w:r>
      <w:r w:rsidR="00656C29">
        <w:rPr>
          <w:rFonts w:ascii="Verdana" w:hAnsi="Verdana"/>
        </w:rPr>
        <w:t>83 977 €)</w:t>
      </w:r>
    </w:p>
    <w:p w14:paraId="2CCD64DF" w14:textId="73C74FDC" w:rsidR="00552439" w:rsidRDefault="009D1BC5" w:rsidP="00314473">
      <w:pPr>
        <w:pStyle w:val="ListParagraph"/>
        <w:ind w:left="851" w:right="-567"/>
        <w:jc w:val="both"/>
        <w:rPr>
          <w:rFonts w:ascii="Verdana" w:hAnsi="Verdana"/>
          <w:sz w:val="20"/>
          <w:szCs w:val="20"/>
        </w:rPr>
      </w:pPr>
      <w:r>
        <w:rPr>
          <w:rFonts w:ascii="Verdana" w:hAnsi="Verdana"/>
        </w:rPr>
        <w:t xml:space="preserve">Dont fiscalité locale </w:t>
      </w:r>
      <w:r>
        <w:rPr>
          <w:rFonts w:ascii="Verdana" w:hAnsi="Verdana"/>
        </w:rPr>
        <w:tab/>
      </w:r>
      <w:r>
        <w:rPr>
          <w:rFonts w:ascii="Verdana" w:hAnsi="Verdana"/>
        </w:rPr>
        <w:tab/>
      </w:r>
      <w:r>
        <w:rPr>
          <w:rFonts w:ascii="Verdana" w:hAnsi="Verdana"/>
        </w:rPr>
        <w:tab/>
      </w:r>
      <w:r w:rsidR="00B5638B">
        <w:rPr>
          <w:rFonts w:ascii="Verdana" w:hAnsi="Verdana"/>
        </w:rPr>
        <w:t xml:space="preserve">= </w:t>
      </w:r>
      <w:r w:rsidR="00656C29">
        <w:rPr>
          <w:rFonts w:ascii="Verdana" w:hAnsi="Verdana"/>
        </w:rPr>
        <w:t>1</w:t>
      </w:r>
      <w:r w:rsidR="001327CF">
        <w:rPr>
          <w:rFonts w:ascii="Verdana" w:hAnsi="Verdana"/>
        </w:rPr>
        <w:t> </w:t>
      </w:r>
      <w:r w:rsidR="00656C29">
        <w:rPr>
          <w:rFonts w:ascii="Verdana" w:hAnsi="Verdana"/>
        </w:rPr>
        <w:t>9</w:t>
      </w:r>
      <w:r w:rsidR="001327CF">
        <w:rPr>
          <w:rFonts w:ascii="Verdana" w:hAnsi="Verdana"/>
        </w:rPr>
        <w:t>98 156</w:t>
      </w:r>
      <w:r w:rsidR="00656C29">
        <w:rPr>
          <w:rFonts w:ascii="Verdana" w:hAnsi="Verdana"/>
        </w:rPr>
        <w:t xml:space="preserve"> €    (201</w:t>
      </w:r>
      <w:r w:rsidR="001327CF">
        <w:rPr>
          <w:rFonts w:ascii="Verdana" w:hAnsi="Verdana"/>
        </w:rPr>
        <w:t>8</w:t>
      </w:r>
      <w:r w:rsidR="00656C29">
        <w:rPr>
          <w:rFonts w:ascii="Verdana" w:hAnsi="Verdana"/>
        </w:rPr>
        <w:t xml:space="preserve"> =</w:t>
      </w:r>
      <w:r w:rsidR="00CD7099">
        <w:rPr>
          <w:rFonts w:ascii="Verdana" w:hAnsi="Verdana"/>
        </w:rPr>
        <w:t xml:space="preserve"> </w:t>
      </w:r>
      <w:r w:rsidR="0004673C">
        <w:rPr>
          <w:rFonts w:ascii="Verdana" w:hAnsi="Verdana"/>
        </w:rPr>
        <w:t>1</w:t>
      </w:r>
      <w:r w:rsidR="001327CF">
        <w:rPr>
          <w:rFonts w:ascii="Verdana" w:hAnsi="Verdana"/>
        </w:rPr>
        <w:t> 929 174</w:t>
      </w:r>
      <w:r w:rsidR="007F7715">
        <w:rPr>
          <w:rFonts w:ascii="Verdana" w:hAnsi="Verdana"/>
        </w:rPr>
        <w:t xml:space="preserve"> €</w:t>
      </w:r>
      <w:r w:rsidR="00656C29">
        <w:rPr>
          <w:rFonts w:ascii="Verdana" w:hAnsi="Verdana"/>
        </w:rPr>
        <w:t>)</w:t>
      </w:r>
      <w:r w:rsidR="007F7715">
        <w:rPr>
          <w:rFonts w:ascii="Verdana" w:hAnsi="Verdana"/>
        </w:rPr>
        <w:t xml:space="preserve"> </w:t>
      </w:r>
      <w:r w:rsidR="0004673C">
        <w:rPr>
          <w:rFonts w:ascii="Verdana" w:hAnsi="Verdana"/>
        </w:rPr>
        <w:t xml:space="preserve"> </w:t>
      </w:r>
      <w:r w:rsidR="00656C29">
        <w:rPr>
          <w:rFonts w:ascii="Verdana" w:hAnsi="Verdana"/>
        </w:rPr>
        <w:t xml:space="preserve">  </w:t>
      </w:r>
    </w:p>
    <w:p w14:paraId="0D98A876" w14:textId="202850BF" w:rsidR="0074239A" w:rsidRPr="00CD7099" w:rsidRDefault="009D1BC5" w:rsidP="00CD7099">
      <w:pPr>
        <w:pStyle w:val="ListParagraph"/>
        <w:ind w:left="851" w:right="-567"/>
        <w:jc w:val="both"/>
        <w:rPr>
          <w:rFonts w:ascii="Verdana" w:hAnsi="Verdana"/>
          <w:sz w:val="20"/>
          <w:szCs w:val="20"/>
        </w:rPr>
      </w:pPr>
      <w:r>
        <w:rPr>
          <w:rFonts w:ascii="Verdana" w:hAnsi="Verdana"/>
        </w:rPr>
        <w:t xml:space="preserve">Dont FNGIR </w:t>
      </w:r>
      <w:r w:rsidR="00CD7099">
        <w:rPr>
          <w:rFonts w:ascii="Verdana" w:hAnsi="Verdana"/>
        </w:rPr>
        <w:t>et compensation TP</w:t>
      </w:r>
      <w:r w:rsidR="00CD7099">
        <w:rPr>
          <w:rFonts w:ascii="Verdana" w:hAnsi="Verdana"/>
        </w:rPr>
        <w:tab/>
      </w:r>
      <w:r w:rsidR="00B5638B" w:rsidRPr="00707B7F">
        <w:rPr>
          <w:rFonts w:ascii="Verdana" w:hAnsi="Verdana"/>
        </w:rPr>
        <w:t xml:space="preserve">= </w:t>
      </w:r>
      <w:r w:rsidR="00CD7099">
        <w:rPr>
          <w:rFonts w:ascii="Verdana" w:hAnsi="Verdana"/>
        </w:rPr>
        <w:t xml:space="preserve">   </w:t>
      </w:r>
      <w:r w:rsidR="00CD7099" w:rsidRPr="00CD7099">
        <w:rPr>
          <w:rFonts w:ascii="Verdana" w:hAnsi="Verdana"/>
        </w:rPr>
        <w:t>625 587</w:t>
      </w:r>
      <w:r w:rsidR="00656C29" w:rsidRPr="00CD7099">
        <w:rPr>
          <w:rFonts w:ascii="Verdana" w:hAnsi="Verdana"/>
        </w:rPr>
        <w:t xml:space="preserve"> € </w:t>
      </w:r>
      <w:r w:rsidR="00CD7099">
        <w:rPr>
          <w:rFonts w:ascii="Verdana" w:hAnsi="Verdana"/>
        </w:rPr>
        <w:t xml:space="preserve">   </w:t>
      </w:r>
      <w:r w:rsidR="00656C29" w:rsidRPr="00CD7099">
        <w:rPr>
          <w:rFonts w:ascii="Verdana" w:hAnsi="Verdana"/>
        </w:rPr>
        <w:t>(201</w:t>
      </w:r>
      <w:r w:rsidR="001327CF" w:rsidRPr="00CD7099">
        <w:rPr>
          <w:rFonts w:ascii="Verdana" w:hAnsi="Verdana"/>
        </w:rPr>
        <w:t>8</w:t>
      </w:r>
      <w:r w:rsidR="00656C29" w:rsidRPr="00CD7099">
        <w:rPr>
          <w:rFonts w:ascii="Verdana" w:hAnsi="Verdana"/>
        </w:rPr>
        <w:t xml:space="preserve"> = </w:t>
      </w:r>
      <w:r w:rsidR="00CD7099">
        <w:rPr>
          <w:rFonts w:ascii="Verdana" w:hAnsi="Verdana"/>
        </w:rPr>
        <w:t xml:space="preserve">   </w:t>
      </w:r>
      <w:r w:rsidR="001327CF" w:rsidRPr="00CD7099">
        <w:rPr>
          <w:rFonts w:ascii="Verdana" w:hAnsi="Verdana"/>
        </w:rPr>
        <w:t>610 227</w:t>
      </w:r>
      <w:r w:rsidR="00656C29" w:rsidRPr="00CD7099">
        <w:rPr>
          <w:rFonts w:ascii="Verdana" w:hAnsi="Verdana"/>
        </w:rPr>
        <w:t xml:space="preserve"> €)</w:t>
      </w:r>
      <w:r w:rsidR="0074239A" w:rsidRPr="00CD7099">
        <w:rPr>
          <w:rFonts w:ascii="Verdana" w:hAnsi="Verdana"/>
        </w:rPr>
        <w:t xml:space="preserve">  </w:t>
      </w:r>
    </w:p>
    <w:p w14:paraId="30430743" w14:textId="4E6C6AE0" w:rsidR="00BD5013" w:rsidRDefault="0074239A" w:rsidP="00314473">
      <w:pPr>
        <w:pStyle w:val="ListParagraph"/>
        <w:ind w:left="851" w:right="-567"/>
        <w:jc w:val="both"/>
        <w:rPr>
          <w:rFonts w:ascii="Verdana" w:hAnsi="Verdana"/>
          <w:sz w:val="20"/>
          <w:szCs w:val="20"/>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14:paraId="167A6F08" w14:textId="77777777" w:rsidR="00552439" w:rsidRDefault="00552439" w:rsidP="00314473">
      <w:pPr>
        <w:pStyle w:val="ListParagraph"/>
        <w:ind w:left="851" w:right="-567"/>
        <w:jc w:val="both"/>
        <w:rPr>
          <w:rFonts w:ascii="Verdana" w:hAnsi="Verdana"/>
        </w:rPr>
      </w:pPr>
    </w:p>
    <w:p w14:paraId="720249A4" w14:textId="563BA313" w:rsidR="00C118F8" w:rsidRDefault="00B5638B" w:rsidP="00C118F8">
      <w:pPr>
        <w:pStyle w:val="NoSpacing"/>
        <w:ind w:firstLine="708"/>
        <w:rPr>
          <w:rFonts w:ascii="Verdana" w:hAnsi="Verdana"/>
          <w:b/>
        </w:rPr>
      </w:pPr>
      <w:r w:rsidRPr="0074239A">
        <w:rPr>
          <w:rFonts w:ascii="Verdana" w:hAnsi="Verdana"/>
          <w:b/>
        </w:rPr>
        <w:t xml:space="preserve">Dotations, </w:t>
      </w:r>
      <w:r w:rsidR="0004673C" w:rsidRPr="0074239A">
        <w:rPr>
          <w:rFonts w:ascii="Verdana" w:hAnsi="Verdana"/>
          <w:b/>
        </w:rPr>
        <w:t xml:space="preserve">subventions et participations </w:t>
      </w:r>
      <w:r w:rsidR="00552439">
        <w:rPr>
          <w:rFonts w:ascii="Verdana" w:hAnsi="Verdana"/>
          <w:b/>
        </w:rPr>
        <w:tab/>
      </w:r>
      <w:r w:rsidRPr="0074239A">
        <w:rPr>
          <w:rFonts w:ascii="Verdana" w:hAnsi="Verdana"/>
          <w:b/>
        </w:rPr>
        <w:t xml:space="preserve">= </w:t>
      </w:r>
      <w:r w:rsidR="0074239A"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D7099">
        <w:rPr>
          <w:rFonts w:ascii="Verdana" w:hAnsi="Verdana"/>
          <w:b/>
        </w:rPr>
        <w:t>273 713</w:t>
      </w:r>
      <w:r w:rsidR="00C118F8">
        <w:rPr>
          <w:rFonts w:ascii="Verdana" w:hAnsi="Verdana"/>
          <w:b/>
        </w:rPr>
        <w:t xml:space="preserve"> € </w:t>
      </w:r>
    </w:p>
    <w:p w14:paraId="5CCFFA35" w14:textId="1FAA6DA4" w:rsidR="00B5638B" w:rsidRPr="00C118F8" w:rsidRDefault="00C118F8" w:rsidP="00C118F8">
      <w:pPr>
        <w:pStyle w:val="NoSpacing"/>
        <w:ind w:left="4956"/>
        <w:rPr>
          <w:rFonts w:ascii="Verdana" w:hAnsi="Verdana"/>
          <w:sz w:val="20"/>
          <w:szCs w:val="20"/>
        </w:rPr>
      </w:pPr>
      <w:r>
        <w:rPr>
          <w:rFonts w:ascii="Verdana" w:hAnsi="Verdana"/>
          <w:b/>
        </w:rPr>
        <w:t xml:space="preserve">        </w:t>
      </w:r>
      <w:r w:rsidRPr="00C118F8">
        <w:rPr>
          <w:rFonts w:ascii="Verdana" w:hAnsi="Verdana"/>
        </w:rPr>
        <w:t>201</w:t>
      </w:r>
      <w:r w:rsidR="00CD7099">
        <w:rPr>
          <w:rFonts w:ascii="Verdana" w:hAnsi="Verdana"/>
        </w:rPr>
        <w:t>8</w:t>
      </w:r>
      <w:r w:rsidRPr="00C118F8">
        <w:rPr>
          <w:rFonts w:ascii="Verdana" w:hAnsi="Verdana"/>
        </w:rPr>
        <w:t xml:space="preserve"> </w:t>
      </w:r>
      <w:r>
        <w:rPr>
          <w:rFonts w:ascii="Verdana" w:hAnsi="Verdana"/>
        </w:rPr>
        <w:t xml:space="preserve">  </w:t>
      </w:r>
      <w:r w:rsidRPr="00C118F8">
        <w:rPr>
          <w:rFonts w:ascii="Verdana" w:hAnsi="Verdana"/>
        </w:rPr>
        <w:t xml:space="preserve">=     </w:t>
      </w:r>
      <w:r w:rsidR="00CD7099">
        <w:rPr>
          <w:rFonts w:ascii="Verdana" w:hAnsi="Verdana"/>
        </w:rPr>
        <w:t>269 556</w:t>
      </w:r>
      <w:r w:rsidR="007F7715" w:rsidRPr="00C118F8">
        <w:rPr>
          <w:rFonts w:ascii="Verdana" w:hAnsi="Verdana"/>
        </w:rPr>
        <w:t xml:space="preserve"> € </w:t>
      </w:r>
    </w:p>
    <w:p w14:paraId="31BEB72B" w14:textId="77777777" w:rsidR="00552439" w:rsidRDefault="00552439" w:rsidP="0074239A">
      <w:pPr>
        <w:pStyle w:val="NoSpacing"/>
        <w:ind w:firstLine="708"/>
        <w:rPr>
          <w:rFonts w:ascii="Verdana" w:hAnsi="Verdana"/>
          <w:b/>
        </w:rPr>
      </w:pPr>
    </w:p>
    <w:p w14:paraId="7C85C662" w14:textId="76BD2CED" w:rsidR="00B5638B" w:rsidRDefault="009D1BC5" w:rsidP="0074239A">
      <w:pPr>
        <w:pStyle w:val="NoSpacing"/>
        <w:ind w:firstLine="708"/>
        <w:rPr>
          <w:rFonts w:ascii="Verdana" w:hAnsi="Verdana"/>
          <w:b/>
        </w:rPr>
      </w:pPr>
      <w:r w:rsidRPr="0074239A">
        <w:rPr>
          <w:rFonts w:ascii="Verdana" w:hAnsi="Verdana"/>
          <w:b/>
        </w:rPr>
        <w:t xml:space="preserve">Produits des services </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00552439">
        <w:rPr>
          <w:rFonts w:ascii="Verdana" w:hAnsi="Verdana"/>
          <w:b/>
        </w:rPr>
        <w:tab/>
      </w:r>
      <w:r w:rsidR="00B5638B" w:rsidRPr="0074239A">
        <w:rPr>
          <w:rFonts w:ascii="Verdana" w:hAnsi="Verdana"/>
          <w:b/>
        </w:rPr>
        <w:t xml:space="preserve">= </w:t>
      </w:r>
      <w:r w:rsidR="0074239A"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118F8">
        <w:rPr>
          <w:rFonts w:ascii="Verdana" w:hAnsi="Verdana"/>
          <w:b/>
        </w:rPr>
        <w:t>2</w:t>
      </w:r>
      <w:r w:rsidR="00CD7099">
        <w:rPr>
          <w:rFonts w:ascii="Verdana" w:hAnsi="Verdana"/>
          <w:b/>
        </w:rPr>
        <w:t>44 321</w:t>
      </w:r>
      <w:r w:rsidR="00707B7F" w:rsidRPr="0074239A">
        <w:rPr>
          <w:rFonts w:ascii="Verdana" w:hAnsi="Verdana"/>
          <w:b/>
        </w:rPr>
        <w:t xml:space="preserve"> € </w:t>
      </w:r>
    </w:p>
    <w:p w14:paraId="33188EAB" w14:textId="533DD0A4" w:rsidR="00C118F8" w:rsidRPr="00C118F8" w:rsidRDefault="00C118F8" w:rsidP="00C118F8">
      <w:pPr>
        <w:pStyle w:val="NoSpacing"/>
        <w:ind w:left="4956" w:firstLine="708"/>
        <w:rPr>
          <w:rFonts w:ascii="Verdana" w:hAnsi="Verdana"/>
          <w:sz w:val="20"/>
          <w:szCs w:val="20"/>
        </w:rPr>
      </w:pPr>
      <w:r>
        <w:rPr>
          <w:rFonts w:ascii="Verdana" w:hAnsi="Verdana"/>
        </w:rPr>
        <w:t>201</w:t>
      </w:r>
      <w:r w:rsidR="00CD7099">
        <w:rPr>
          <w:rFonts w:ascii="Verdana" w:hAnsi="Verdana"/>
        </w:rPr>
        <w:t>8</w:t>
      </w:r>
      <w:r>
        <w:rPr>
          <w:rFonts w:ascii="Verdana" w:hAnsi="Verdana"/>
        </w:rPr>
        <w:t xml:space="preserve">  =     22</w:t>
      </w:r>
      <w:r w:rsidR="00CD7099">
        <w:rPr>
          <w:rFonts w:ascii="Verdana" w:hAnsi="Verdana"/>
        </w:rPr>
        <w:t>4 634</w:t>
      </w:r>
      <w:r>
        <w:rPr>
          <w:rFonts w:ascii="Verdana" w:hAnsi="Verdana"/>
        </w:rPr>
        <w:t xml:space="preserve"> €</w:t>
      </w:r>
    </w:p>
    <w:p w14:paraId="502613B5" w14:textId="77777777" w:rsidR="00552439" w:rsidRDefault="00552439" w:rsidP="0074239A">
      <w:pPr>
        <w:pStyle w:val="NoSpacing"/>
        <w:ind w:firstLine="708"/>
        <w:rPr>
          <w:rFonts w:ascii="Verdana" w:hAnsi="Verdana"/>
          <w:b/>
        </w:rPr>
      </w:pPr>
    </w:p>
    <w:p w14:paraId="5FCEDB92" w14:textId="77777777" w:rsidR="00E468D8" w:rsidRDefault="00E468D8" w:rsidP="0074239A">
      <w:pPr>
        <w:pStyle w:val="NoSpacing"/>
        <w:ind w:firstLine="708"/>
        <w:rPr>
          <w:rFonts w:ascii="Verdana" w:hAnsi="Verdana"/>
          <w:b/>
        </w:rPr>
      </w:pPr>
    </w:p>
    <w:p w14:paraId="1DCA618F" w14:textId="77777777" w:rsidR="005D244D" w:rsidRDefault="005D244D" w:rsidP="0074239A">
      <w:pPr>
        <w:pStyle w:val="NoSpacing"/>
        <w:ind w:firstLine="708"/>
        <w:rPr>
          <w:rFonts w:ascii="Verdana" w:hAnsi="Verdana"/>
          <w:b/>
        </w:rPr>
      </w:pPr>
    </w:p>
    <w:p w14:paraId="780D658A" w14:textId="1CB2A684" w:rsidR="00C118F8" w:rsidRDefault="0074239A" w:rsidP="0074239A">
      <w:pPr>
        <w:pStyle w:val="NoSpacing"/>
        <w:ind w:firstLine="708"/>
        <w:rPr>
          <w:rFonts w:ascii="Verdana" w:hAnsi="Verdana"/>
          <w:b/>
        </w:rPr>
      </w:pPr>
      <w:r w:rsidRPr="0074239A">
        <w:rPr>
          <w:rFonts w:ascii="Verdana" w:hAnsi="Verdana"/>
          <w:b/>
        </w:rPr>
        <w:t>Autres produits de gestion courante</w:t>
      </w:r>
      <w:r w:rsidRPr="0074239A">
        <w:rPr>
          <w:rFonts w:ascii="Verdana" w:hAnsi="Verdana"/>
          <w:b/>
        </w:rPr>
        <w:tab/>
        <w:t xml:space="preserve">    </w:t>
      </w:r>
      <w:r w:rsidR="00552439">
        <w:rPr>
          <w:rFonts w:ascii="Verdana" w:hAnsi="Verdana"/>
          <w:b/>
        </w:rPr>
        <w:tab/>
      </w:r>
      <w:r w:rsidRPr="0074239A">
        <w:rPr>
          <w:rFonts w:ascii="Verdana" w:hAnsi="Verdana"/>
          <w:b/>
        </w:rPr>
        <w:t xml:space="preserve">=   </w:t>
      </w:r>
      <w:r w:rsidR="00552439">
        <w:rPr>
          <w:rFonts w:ascii="Verdana" w:hAnsi="Verdana"/>
          <w:b/>
        </w:rPr>
        <w:t xml:space="preserve"> </w:t>
      </w:r>
      <w:r w:rsidR="00417D96">
        <w:rPr>
          <w:rFonts w:ascii="Verdana" w:hAnsi="Verdana"/>
          <w:b/>
        </w:rPr>
        <w:t xml:space="preserve"> </w:t>
      </w:r>
      <w:r w:rsidR="00CD7099">
        <w:rPr>
          <w:rFonts w:ascii="Verdana" w:hAnsi="Verdana"/>
          <w:b/>
        </w:rPr>
        <w:t>176 089</w:t>
      </w:r>
      <w:r w:rsidRPr="0074239A">
        <w:rPr>
          <w:rFonts w:ascii="Verdana" w:hAnsi="Verdana"/>
          <w:b/>
        </w:rPr>
        <w:t xml:space="preserve"> €</w:t>
      </w:r>
    </w:p>
    <w:p w14:paraId="34FD60FC" w14:textId="13624012" w:rsidR="0074239A" w:rsidRPr="0074239A" w:rsidRDefault="00C118F8" w:rsidP="00C118F8">
      <w:pPr>
        <w:pStyle w:val="NoSpacing"/>
        <w:ind w:left="4956" w:firstLine="708"/>
        <w:rPr>
          <w:rFonts w:ascii="Verdana" w:hAnsi="Verdana"/>
          <w:b/>
          <w:sz w:val="20"/>
          <w:szCs w:val="20"/>
        </w:rPr>
      </w:pPr>
      <w:r>
        <w:rPr>
          <w:rFonts w:ascii="Verdana" w:hAnsi="Verdana"/>
        </w:rPr>
        <w:t>201</w:t>
      </w:r>
      <w:r w:rsidR="00CD7099">
        <w:rPr>
          <w:rFonts w:ascii="Verdana" w:hAnsi="Verdana"/>
        </w:rPr>
        <w:t>8</w:t>
      </w:r>
      <w:r>
        <w:rPr>
          <w:rFonts w:ascii="Verdana" w:hAnsi="Verdana"/>
        </w:rPr>
        <w:t xml:space="preserve">  =      </w:t>
      </w:r>
      <w:r w:rsidR="00CD7099">
        <w:rPr>
          <w:rFonts w:ascii="Verdana" w:hAnsi="Verdana"/>
        </w:rPr>
        <w:t xml:space="preserve">  85 518</w:t>
      </w:r>
      <w:r>
        <w:rPr>
          <w:rFonts w:ascii="Verdana" w:hAnsi="Verdana"/>
        </w:rPr>
        <w:t xml:space="preserve"> €</w:t>
      </w:r>
      <w:r w:rsidR="0074239A" w:rsidRPr="0074239A">
        <w:rPr>
          <w:rFonts w:ascii="Verdana" w:hAnsi="Verdana"/>
          <w:b/>
        </w:rPr>
        <w:t xml:space="preserve"> </w:t>
      </w:r>
    </w:p>
    <w:p w14:paraId="777E7524" w14:textId="77777777" w:rsidR="00552439" w:rsidRDefault="00552439" w:rsidP="0074239A">
      <w:pPr>
        <w:pStyle w:val="NoSpacing"/>
        <w:ind w:firstLine="708"/>
        <w:rPr>
          <w:rFonts w:ascii="Verdana" w:hAnsi="Verdana"/>
          <w:b/>
        </w:rPr>
      </w:pPr>
    </w:p>
    <w:p w14:paraId="4960DEDD" w14:textId="2245771C" w:rsidR="00C118F8" w:rsidRDefault="00E34F01" w:rsidP="0074239A">
      <w:pPr>
        <w:pStyle w:val="NoSpacing"/>
        <w:ind w:firstLine="708"/>
        <w:rPr>
          <w:rFonts w:ascii="Verdana" w:hAnsi="Verdana"/>
          <w:b/>
        </w:rPr>
      </w:pPr>
      <w:r w:rsidRPr="0074239A">
        <w:rPr>
          <w:rFonts w:ascii="Verdana" w:hAnsi="Verdana"/>
          <w:b/>
        </w:rPr>
        <w:t>Atténuations de charges</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Pr="0074239A">
        <w:rPr>
          <w:rFonts w:ascii="Verdana" w:hAnsi="Verdana"/>
          <w:b/>
        </w:rPr>
        <w:t xml:space="preserve"> =    </w:t>
      </w:r>
      <w:r w:rsidR="00552439">
        <w:rPr>
          <w:rFonts w:ascii="Verdana" w:hAnsi="Verdana"/>
          <w:b/>
        </w:rPr>
        <w:t xml:space="preserve">   </w:t>
      </w:r>
      <w:r w:rsidR="00417D96">
        <w:rPr>
          <w:rFonts w:ascii="Verdana" w:hAnsi="Verdana"/>
          <w:b/>
        </w:rPr>
        <w:t xml:space="preserve"> </w:t>
      </w:r>
      <w:r w:rsidR="00C118F8">
        <w:rPr>
          <w:rFonts w:ascii="Verdana" w:hAnsi="Verdana"/>
          <w:b/>
        </w:rPr>
        <w:t xml:space="preserve"> </w:t>
      </w:r>
      <w:r w:rsidR="00CD7099">
        <w:rPr>
          <w:rFonts w:ascii="Verdana" w:hAnsi="Verdana"/>
          <w:b/>
        </w:rPr>
        <w:t>6 068</w:t>
      </w:r>
      <w:r w:rsidRPr="0074239A">
        <w:rPr>
          <w:rFonts w:ascii="Verdana" w:hAnsi="Verdana"/>
          <w:b/>
        </w:rPr>
        <w:t xml:space="preserve"> € </w:t>
      </w:r>
    </w:p>
    <w:p w14:paraId="245296A2" w14:textId="1A21C115" w:rsidR="00E34F01" w:rsidRPr="0074239A" w:rsidRDefault="00C118F8" w:rsidP="00C118F8">
      <w:pPr>
        <w:pStyle w:val="NoSpacing"/>
        <w:ind w:left="5664"/>
        <w:rPr>
          <w:rFonts w:ascii="Verdana" w:hAnsi="Verdana"/>
          <w:b/>
          <w:sz w:val="20"/>
          <w:szCs w:val="20"/>
        </w:rPr>
      </w:pPr>
      <w:r>
        <w:rPr>
          <w:rFonts w:ascii="Verdana" w:hAnsi="Verdana"/>
        </w:rPr>
        <w:t>201</w:t>
      </w:r>
      <w:r w:rsidR="00CD7099">
        <w:rPr>
          <w:rFonts w:ascii="Verdana" w:hAnsi="Verdana"/>
        </w:rPr>
        <w:t>8</w:t>
      </w:r>
      <w:r>
        <w:rPr>
          <w:rFonts w:ascii="Verdana" w:hAnsi="Verdana"/>
        </w:rPr>
        <w:t xml:space="preserve">   =         </w:t>
      </w:r>
      <w:r w:rsidR="00CD7099">
        <w:rPr>
          <w:rFonts w:ascii="Verdana" w:hAnsi="Verdana"/>
        </w:rPr>
        <w:t>5 417</w:t>
      </w:r>
      <w:r>
        <w:rPr>
          <w:rFonts w:ascii="Verdana" w:hAnsi="Verdana"/>
        </w:rPr>
        <w:t xml:space="preserve"> €</w:t>
      </w:r>
      <w:r w:rsidR="00E34F01" w:rsidRPr="0074239A">
        <w:rPr>
          <w:rFonts w:ascii="Verdana" w:hAnsi="Verdana"/>
          <w:b/>
        </w:rPr>
        <w:t xml:space="preserve"> </w:t>
      </w:r>
    </w:p>
    <w:p w14:paraId="0F69903C" w14:textId="77777777" w:rsidR="00552439" w:rsidRDefault="00552439" w:rsidP="0074239A">
      <w:pPr>
        <w:pStyle w:val="NoSpacing"/>
        <w:ind w:firstLine="708"/>
        <w:rPr>
          <w:rFonts w:ascii="Verdana" w:hAnsi="Verdana"/>
          <w:b/>
        </w:rPr>
      </w:pPr>
    </w:p>
    <w:p w14:paraId="5FCEF6EE" w14:textId="2CF78EB5" w:rsidR="00C118F8" w:rsidRDefault="0074239A" w:rsidP="00C118F8">
      <w:pPr>
        <w:pStyle w:val="NoSpacing"/>
        <w:ind w:firstLine="708"/>
        <w:rPr>
          <w:rFonts w:ascii="Verdana" w:hAnsi="Verdana"/>
          <w:b/>
        </w:rPr>
      </w:pPr>
      <w:r w:rsidRPr="0074239A">
        <w:rPr>
          <w:rFonts w:ascii="Verdana" w:hAnsi="Verdana"/>
          <w:b/>
        </w:rPr>
        <w:t>Produits exceptionnels</w:t>
      </w:r>
      <w:r w:rsidRPr="0074239A">
        <w:rPr>
          <w:rFonts w:ascii="Verdana" w:hAnsi="Verdana"/>
          <w:b/>
        </w:rPr>
        <w:tab/>
      </w:r>
      <w:r w:rsidRPr="0074239A">
        <w:rPr>
          <w:rFonts w:ascii="Verdana" w:hAnsi="Verdana"/>
          <w:b/>
        </w:rPr>
        <w:tab/>
      </w:r>
      <w:r w:rsidRPr="0074239A">
        <w:rPr>
          <w:rFonts w:ascii="Verdana" w:hAnsi="Verdana"/>
          <w:b/>
        </w:rPr>
        <w:tab/>
        <w:t xml:space="preserve">   </w:t>
      </w:r>
      <w:r w:rsidR="00552439">
        <w:rPr>
          <w:rFonts w:ascii="Verdana" w:hAnsi="Verdana"/>
          <w:b/>
        </w:rPr>
        <w:tab/>
      </w:r>
      <w:r w:rsidR="00552439">
        <w:rPr>
          <w:rFonts w:ascii="Verdana" w:hAnsi="Verdana"/>
          <w:b/>
        </w:rPr>
        <w:tab/>
      </w:r>
      <w:r w:rsidRPr="0074239A">
        <w:rPr>
          <w:rFonts w:ascii="Verdana" w:hAnsi="Verdana"/>
          <w:b/>
        </w:rPr>
        <w:t xml:space="preserve"> =</w:t>
      </w:r>
      <w:r w:rsidR="00417D96">
        <w:rPr>
          <w:rFonts w:ascii="Verdana" w:hAnsi="Verdana"/>
          <w:b/>
        </w:rPr>
        <w:t xml:space="preserve"> </w:t>
      </w:r>
      <w:r w:rsidR="00C118F8">
        <w:rPr>
          <w:rFonts w:ascii="Verdana" w:hAnsi="Verdana"/>
          <w:b/>
        </w:rPr>
        <w:t xml:space="preserve">     </w:t>
      </w:r>
      <w:r w:rsidR="00CD7099">
        <w:rPr>
          <w:rFonts w:ascii="Verdana" w:hAnsi="Verdana"/>
          <w:b/>
        </w:rPr>
        <w:t xml:space="preserve">   </w:t>
      </w:r>
      <w:r w:rsidR="00C118F8">
        <w:rPr>
          <w:rFonts w:ascii="Verdana" w:hAnsi="Verdana"/>
          <w:b/>
        </w:rPr>
        <w:t>7</w:t>
      </w:r>
      <w:r w:rsidR="00CD7099">
        <w:rPr>
          <w:rFonts w:ascii="Verdana" w:hAnsi="Verdana"/>
          <w:b/>
        </w:rPr>
        <w:t>9 219</w:t>
      </w:r>
      <w:r w:rsidRPr="0074239A">
        <w:rPr>
          <w:rFonts w:ascii="Verdana" w:hAnsi="Verdana"/>
          <w:b/>
        </w:rPr>
        <w:t xml:space="preserve"> €</w:t>
      </w:r>
    </w:p>
    <w:p w14:paraId="21E3FDF3" w14:textId="5847FA30" w:rsidR="0074239A" w:rsidRDefault="00C118F8" w:rsidP="00C118F8">
      <w:pPr>
        <w:pStyle w:val="NoSpacing"/>
        <w:ind w:left="4956" w:firstLine="708"/>
        <w:rPr>
          <w:rFonts w:ascii="Verdana" w:hAnsi="Verdana"/>
          <w:b/>
        </w:rPr>
      </w:pPr>
      <w:r>
        <w:rPr>
          <w:rFonts w:ascii="Verdana" w:hAnsi="Verdana"/>
        </w:rPr>
        <w:t>201</w:t>
      </w:r>
      <w:r w:rsidR="00CD7099">
        <w:rPr>
          <w:rFonts w:ascii="Verdana" w:hAnsi="Verdana"/>
        </w:rPr>
        <w:t>8</w:t>
      </w:r>
      <w:r>
        <w:rPr>
          <w:rFonts w:ascii="Verdana" w:hAnsi="Verdana"/>
        </w:rPr>
        <w:t xml:space="preserve">   =   </w:t>
      </w:r>
      <w:r w:rsidR="00CD7099">
        <w:rPr>
          <w:rFonts w:ascii="Verdana" w:hAnsi="Verdana"/>
        </w:rPr>
        <w:t xml:space="preserve">    728 986</w:t>
      </w:r>
      <w:r>
        <w:rPr>
          <w:rFonts w:ascii="Verdana" w:hAnsi="Verdana"/>
        </w:rPr>
        <w:t xml:space="preserve"> €</w:t>
      </w:r>
      <w:r w:rsidR="0074239A" w:rsidRPr="0074239A">
        <w:rPr>
          <w:rFonts w:ascii="Verdana" w:hAnsi="Verdana"/>
          <w:b/>
        </w:rPr>
        <w:t xml:space="preserve"> </w:t>
      </w:r>
    </w:p>
    <w:p w14:paraId="429225EC" w14:textId="77777777" w:rsidR="004F0BB8" w:rsidRDefault="004F0BB8" w:rsidP="0074239A">
      <w:pPr>
        <w:pStyle w:val="NoSpacing"/>
        <w:ind w:firstLine="708"/>
        <w:rPr>
          <w:rFonts w:ascii="Verdana" w:hAnsi="Verdana"/>
          <w:b/>
        </w:rPr>
      </w:pPr>
    </w:p>
    <w:p w14:paraId="7BC5B5FB" w14:textId="715407BE" w:rsidR="004F0BB8" w:rsidRDefault="00D013F8" w:rsidP="0074239A">
      <w:pPr>
        <w:pStyle w:val="NoSpacing"/>
        <w:ind w:firstLine="708"/>
        <w:rPr>
          <w:rFonts w:ascii="Verdana" w:hAnsi="Verdana"/>
          <w:b/>
        </w:rPr>
      </w:pPr>
      <w:r>
        <w:rPr>
          <w:rFonts w:ascii="Verdana" w:hAnsi="Verdana"/>
          <w:b/>
        </w:rPr>
        <w:t>Dette récupérable</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     </w:t>
      </w:r>
      <w:r w:rsidR="00417D96">
        <w:rPr>
          <w:rFonts w:ascii="Verdana" w:hAnsi="Verdana"/>
          <w:b/>
        </w:rPr>
        <w:t xml:space="preserve"> </w:t>
      </w:r>
      <w:r w:rsidR="00C118F8">
        <w:rPr>
          <w:rFonts w:ascii="Verdana" w:hAnsi="Verdana"/>
          <w:b/>
        </w:rPr>
        <w:t xml:space="preserve">  1</w:t>
      </w:r>
      <w:r w:rsidR="0054571F">
        <w:rPr>
          <w:rFonts w:ascii="Verdana" w:hAnsi="Verdana"/>
          <w:b/>
        </w:rPr>
        <w:t>4 600</w:t>
      </w:r>
      <w:r>
        <w:rPr>
          <w:rFonts w:ascii="Verdana" w:hAnsi="Verdana"/>
          <w:b/>
        </w:rPr>
        <w:t xml:space="preserve"> €</w:t>
      </w:r>
    </w:p>
    <w:p w14:paraId="6AE369EC" w14:textId="3AFC0407" w:rsidR="00C118F8" w:rsidRPr="00C118F8" w:rsidRDefault="00C118F8" w:rsidP="00C118F8">
      <w:pPr>
        <w:pStyle w:val="NoSpacing"/>
        <w:ind w:left="4956" w:firstLine="708"/>
        <w:rPr>
          <w:rFonts w:ascii="Verdana" w:hAnsi="Verdana"/>
        </w:rPr>
      </w:pPr>
      <w:r>
        <w:rPr>
          <w:rFonts w:ascii="Verdana" w:hAnsi="Verdana"/>
        </w:rPr>
        <w:t>201</w:t>
      </w:r>
      <w:r w:rsidR="00CD7099">
        <w:rPr>
          <w:rFonts w:ascii="Verdana" w:hAnsi="Verdana"/>
        </w:rPr>
        <w:t>8</w:t>
      </w:r>
      <w:r>
        <w:rPr>
          <w:rFonts w:ascii="Verdana" w:hAnsi="Verdana"/>
        </w:rPr>
        <w:t xml:space="preserve">   =        1</w:t>
      </w:r>
      <w:r w:rsidR="0054571F">
        <w:rPr>
          <w:rFonts w:ascii="Verdana" w:hAnsi="Verdana"/>
        </w:rPr>
        <w:t>7 144</w:t>
      </w:r>
      <w:r>
        <w:rPr>
          <w:rFonts w:ascii="Verdana" w:hAnsi="Verdana"/>
        </w:rPr>
        <w:t xml:space="preserve"> €</w:t>
      </w:r>
    </w:p>
    <w:p w14:paraId="316379CC" w14:textId="77777777" w:rsidR="004F0BB8" w:rsidRDefault="004F0BB8" w:rsidP="004F0BB8">
      <w:pPr>
        <w:ind w:right="-567"/>
        <w:jc w:val="both"/>
        <w:rPr>
          <w:rFonts w:ascii="Verdana" w:hAnsi="Verdana"/>
        </w:rPr>
      </w:pPr>
    </w:p>
    <w:p w14:paraId="504452B6" w14:textId="77777777" w:rsidR="004F0BB8" w:rsidRDefault="004F0BB8" w:rsidP="004F0BB8">
      <w:pPr>
        <w:ind w:right="-567"/>
        <w:jc w:val="both"/>
        <w:rPr>
          <w:rFonts w:ascii="Verdana" w:hAnsi="Verdana"/>
        </w:rPr>
      </w:pPr>
    </w:p>
    <w:p w14:paraId="6825F485" w14:textId="4C06E55D" w:rsidR="00BA413B" w:rsidRPr="004F0BB8" w:rsidRDefault="00255847" w:rsidP="004F0BB8">
      <w:pPr>
        <w:ind w:left="708" w:right="-567"/>
        <w:jc w:val="both"/>
        <w:rPr>
          <w:rFonts w:ascii="Verdana" w:hAnsi="Verdana"/>
        </w:rPr>
      </w:pPr>
      <w:r w:rsidRPr="004F0BB8">
        <w:rPr>
          <w:rFonts w:ascii="Verdana" w:hAnsi="Verdana"/>
        </w:rPr>
        <w:t xml:space="preserve">On peut noter une </w:t>
      </w:r>
      <w:r w:rsidR="00BD1381">
        <w:rPr>
          <w:rFonts w:ascii="Verdana" w:hAnsi="Verdana"/>
        </w:rPr>
        <w:t>augmentation</w:t>
      </w:r>
      <w:r w:rsidRPr="004F0BB8">
        <w:rPr>
          <w:rFonts w:ascii="Verdana" w:hAnsi="Verdana"/>
        </w:rPr>
        <w:t xml:space="preserve"> des produits de service avec une fréquentation </w:t>
      </w:r>
      <w:r w:rsidR="00BD1381">
        <w:rPr>
          <w:rFonts w:ascii="Verdana" w:hAnsi="Verdana"/>
        </w:rPr>
        <w:t xml:space="preserve">en hausse </w:t>
      </w:r>
      <w:r w:rsidRPr="004F0BB8">
        <w:rPr>
          <w:rFonts w:ascii="Verdana" w:hAnsi="Verdana"/>
        </w:rPr>
        <w:t>de nos équipements sportifs et culturels (piscine, médiathèque, musée, loc</w:t>
      </w:r>
      <w:r w:rsidR="005265F1">
        <w:rPr>
          <w:rFonts w:ascii="Verdana" w:hAnsi="Verdana"/>
        </w:rPr>
        <w:t xml:space="preserve">ations de salles). </w:t>
      </w:r>
    </w:p>
    <w:p w14:paraId="13227B72" w14:textId="77777777" w:rsidR="00D2331E" w:rsidRDefault="00D2331E" w:rsidP="00314473">
      <w:pPr>
        <w:pStyle w:val="ListParagraph"/>
        <w:ind w:left="851" w:right="-567"/>
        <w:jc w:val="both"/>
        <w:rPr>
          <w:rFonts w:ascii="Verdana" w:hAnsi="Verdana"/>
          <w:b/>
        </w:rPr>
      </w:pPr>
    </w:p>
    <w:p w14:paraId="25F16F3A" w14:textId="77777777" w:rsidR="00E221C2" w:rsidRDefault="00E221C2" w:rsidP="00417D96">
      <w:pPr>
        <w:ind w:right="-567" w:firstLine="708"/>
        <w:jc w:val="both"/>
        <w:rPr>
          <w:rFonts w:ascii="Verdana" w:hAnsi="Verdana"/>
          <w:b/>
        </w:rPr>
      </w:pPr>
    </w:p>
    <w:p w14:paraId="7A1F9D92" w14:textId="77777777" w:rsidR="00E221C2" w:rsidRDefault="00E221C2" w:rsidP="00417D96">
      <w:pPr>
        <w:ind w:right="-567" w:firstLine="708"/>
        <w:jc w:val="both"/>
        <w:rPr>
          <w:rFonts w:ascii="Verdana" w:hAnsi="Verdana"/>
          <w:b/>
        </w:rPr>
      </w:pPr>
    </w:p>
    <w:p w14:paraId="2CE671D2" w14:textId="3A44BD51" w:rsidR="00030B8C" w:rsidRPr="00417D96" w:rsidRDefault="00030B8C" w:rsidP="00417D96">
      <w:pPr>
        <w:ind w:right="-567" w:firstLine="708"/>
        <w:jc w:val="both"/>
        <w:rPr>
          <w:rFonts w:ascii="Verdana" w:hAnsi="Verdana"/>
          <w:b/>
        </w:rPr>
      </w:pPr>
      <w:r w:rsidRPr="00417D96">
        <w:rPr>
          <w:rFonts w:ascii="Verdana" w:hAnsi="Verdana"/>
          <w:b/>
        </w:rPr>
        <w:t xml:space="preserve">Situation des </w:t>
      </w:r>
      <w:r w:rsidR="00C118F8">
        <w:rPr>
          <w:rFonts w:ascii="Verdana" w:hAnsi="Verdana"/>
          <w:b/>
        </w:rPr>
        <w:t>recettes 201</w:t>
      </w:r>
      <w:r w:rsidR="00BD1381">
        <w:rPr>
          <w:rFonts w:ascii="Verdana" w:hAnsi="Verdana"/>
          <w:b/>
        </w:rPr>
        <w:t>9</w:t>
      </w:r>
      <w:r w:rsidRPr="00417D96">
        <w:rPr>
          <w:rFonts w:ascii="Verdana" w:hAnsi="Verdana"/>
          <w:b/>
        </w:rPr>
        <w:t> :</w:t>
      </w:r>
    </w:p>
    <w:p w14:paraId="1FA961FA" w14:textId="77777777" w:rsidR="0004673C" w:rsidRDefault="0004673C" w:rsidP="00314473">
      <w:pPr>
        <w:pStyle w:val="ListParagraph"/>
        <w:ind w:left="851" w:right="-567"/>
        <w:jc w:val="both"/>
        <w:rPr>
          <w:rFonts w:ascii="Verdana" w:hAnsi="Verdana"/>
        </w:rPr>
      </w:pPr>
    </w:p>
    <w:p w14:paraId="402081BF" w14:textId="77777777" w:rsidR="00030B8C" w:rsidRDefault="00030B8C" w:rsidP="00314473">
      <w:pPr>
        <w:pStyle w:val="ListParagraph"/>
        <w:ind w:left="851" w:right="-567"/>
        <w:jc w:val="both"/>
        <w:rPr>
          <w:rFonts w:ascii="Verdana" w:hAnsi="Verdana"/>
        </w:rPr>
      </w:pPr>
      <w:r>
        <w:rPr>
          <w:rFonts w:ascii="Verdana" w:hAnsi="Verdana"/>
        </w:rPr>
        <w:t>2014 A.C.</w:t>
      </w:r>
      <w:r w:rsidR="00255847">
        <w:rPr>
          <w:rFonts w:ascii="Verdana" w:hAnsi="Verdana"/>
        </w:rPr>
        <w:t xml:space="preserve"> </w:t>
      </w:r>
      <w:r>
        <w:rPr>
          <w:rFonts w:ascii="Verdana" w:hAnsi="Verdana"/>
        </w:rPr>
        <w:t xml:space="preserve"> = 2 479 933 €</w:t>
      </w:r>
    </w:p>
    <w:p w14:paraId="3A1E52A1" w14:textId="77777777" w:rsidR="00030B8C" w:rsidRDefault="00030B8C" w:rsidP="00314473">
      <w:pPr>
        <w:pStyle w:val="ListParagraph"/>
        <w:ind w:left="851" w:right="-567"/>
        <w:jc w:val="both"/>
        <w:rPr>
          <w:rFonts w:ascii="Verdana" w:hAnsi="Verdana"/>
        </w:rPr>
      </w:pPr>
      <w:r>
        <w:rPr>
          <w:rFonts w:ascii="Verdana" w:hAnsi="Verdana"/>
        </w:rPr>
        <w:t xml:space="preserve">2015 A.C. </w:t>
      </w:r>
      <w:r w:rsidR="00255847">
        <w:rPr>
          <w:rFonts w:ascii="Verdana" w:hAnsi="Verdana"/>
        </w:rPr>
        <w:t xml:space="preserve"> </w:t>
      </w:r>
      <w:r>
        <w:rPr>
          <w:rFonts w:ascii="Verdana" w:hAnsi="Verdana"/>
        </w:rPr>
        <w:t>= 2 228 464 €</w:t>
      </w:r>
    </w:p>
    <w:p w14:paraId="3854C6F3" w14:textId="77777777" w:rsidR="00030B8C" w:rsidRDefault="00255847" w:rsidP="00314473">
      <w:pPr>
        <w:pStyle w:val="ListParagraph"/>
        <w:ind w:left="851" w:right="-567"/>
        <w:jc w:val="both"/>
        <w:rPr>
          <w:rFonts w:ascii="Verdana" w:hAnsi="Verdana"/>
        </w:rPr>
      </w:pPr>
      <w:r>
        <w:rPr>
          <w:rFonts w:ascii="Verdana" w:hAnsi="Verdana"/>
        </w:rPr>
        <w:t>2016 A.C.  = 2 227 010</w:t>
      </w:r>
      <w:r w:rsidR="00030B8C" w:rsidRPr="00255847">
        <w:rPr>
          <w:rFonts w:ascii="Verdana" w:hAnsi="Verdana"/>
        </w:rPr>
        <w:t xml:space="preserve"> €</w:t>
      </w:r>
    </w:p>
    <w:p w14:paraId="276137AA" w14:textId="77777777" w:rsidR="00255847" w:rsidRPr="00C118F8" w:rsidRDefault="00255847" w:rsidP="00314473">
      <w:pPr>
        <w:pStyle w:val="ListParagraph"/>
        <w:ind w:left="851" w:right="-567"/>
        <w:jc w:val="both"/>
        <w:rPr>
          <w:rFonts w:ascii="Verdana" w:hAnsi="Verdana"/>
        </w:rPr>
      </w:pPr>
      <w:r w:rsidRPr="00C118F8">
        <w:rPr>
          <w:rFonts w:ascii="Verdana" w:hAnsi="Verdana"/>
        </w:rPr>
        <w:t xml:space="preserve">2017 A.C. </w:t>
      </w:r>
      <w:r w:rsidR="00C118F8">
        <w:rPr>
          <w:rFonts w:ascii="Verdana" w:hAnsi="Verdana"/>
        </w:rPr>
        <w:t xml:space="preserve"> </w:t>
      </w:r>
      <w:r w:rsidRPr="00C118F8">
        <w:rPr>
          <w:rFonts w:ascii="Verdana" w:hAnsi="Verdana"/>
        </w:rPr>
        <w:t>= 2 227 387 €</w:t>
      </w:r>
    </w:p>
    <w:p w14:paraId="57A13100" w14:textId="5F52AF53" w:rsidR="00C118F8" w:rsidRDefault="00C118F8" w:rsidP="00314473">
      <w:pPr>
        <w:pStyle w:val="ListParagraph"/>
        <w:ind w:left="851" w:right="-567"/>
        <w:jc w:val="both"/>
        <w:rPr>
          <w:rFonts w:ascii="Verdana" w:hAnsi="Verdana"/>
          <w:bCs/>
        </w:rPr>
      </w:pPr>
      <w:r w:rsidRPr="00BD1381">
        <w:rPr>
          <w:rFonts w:ascii="Verdana" w:hAnsi="Verdana"/>
          <w:bCs/>
        </w:rPr>
        <w:t xml:space="preserve">2018 A.C. </w:t>
      </w:r>
      <w:r w:rsidR="00BD1381">
        <w:rPr>
          <w:rFonts w:ascii="Verdana" w:hAnsi="Verdana"/>
          <w:bCs/>
        </w:rPr>
        <w:t xml:space="preserve"> </w:t>
      </w:r>
      <w:r w:rsidRPr="00BD1381">
        <w:rPr>
          <w:rFonts w:ascii="Verdana" w:hAnsi="Verdana"/>
          <w:bCs/>
        </w:rPr>
        <w:t xml:space="preserve">= 2 231 410 </w:t>
      </w:r>
      <w:r w:rsidR="00BD1381" w:rsidRPr="00BD1381">
        <w:rPr>
          <w:rFonts w:ascii="Verdana" w:hAnsi="Verdana"/>
          <w:bCs/>
        </w:rPr>
        <w:t>€</w:t>
      </w:r>
    </w:p>
    <w:p w14:paraId="021CDDE5" w14:textId="4D49D1C3" w:rsidR="00BD1381" w:rsidRPr="00BD1381" w:rsidRDefault="00BD1381" w:rsidP="00314473">
      <w:pPr>
        <w:pStyle w:val="ListParagraph"/>
        <w:ind w:left="851" w:right="-567"/>
        <w:jc w:val="both"/>
        <w:rPr>
          <w:rFonts w:ascii="Verdana" w:hAnsi="Verdana"/>
          <w:bCs/>
        </w:rPr>
      </w:pPr>
      <w:r>
        <w:rPr>
          <w:rFonts w:ascii="Verdana" w:hAnsi="Verdana"/>
          <w:bCs/>
        </w:rPr>
        <w:t>2019 A.C.  = 2 194 651 €</w:t>
      </w:r>
    </w:p>
    <w:p w14:paraId="5DE1A856" w14:textId="77777777" w:rsidR="00255847" w:rsidRDefault="00255847" w:rsidP="00314473">
      <w:pPr>
        <w:pStyle w:val="ListParagraph"/>
        <w:ind w:left="851" w:right="-567"/>
        <w:jc w:val="both"/>
        <w:rPr>
          <w:rFonts w:ascii="Verdana" w:hAnsi="Verdana"/>
        </w:rPr>
      </w:pPr>
    </w:p>
    <w:p w14:paraId="3503D531" w14:textId="670446FF" w:rsidR="00255847" w:rsidRPr="00255847" w:rsidRDefault="00255847" w:rsidP="00314473">
      <w:pPr>
        <w:pStyle w:val="ListParagraph"/>
        <w:ind w:left="851" w:right="-567"/>
        <w:jc w:val="both"/>
        <w:rPr>
          <w:rFonts w:ascii="Verdana" w:hAnsi="Verdana"/>
        </w:rPr>
      </w:pPr>
      <w:r>
        <w:rPr>
          <w:rFonts w:ascii="Verdana" w:hAnsi="Verdana"/>
        </w:rPr>
        <w:t>L’A.C. est stabilisée depuis les transferts de 2015 même si de petites corrections de la CLECT peuvent intervenir chaque année à la marge.</w:t>
      </w:r>
      <w:r w:rsidR="00F57532">
        <w:rPr>
          <w:rFonts w:ascii="Verdana" w:hAnsi="Verdana"/>
        </w:rPr>
        <w:t xml:space="preserve"> </w:t>
      </w:r>
      <w:r w:rsidR="001A1E49">
        <w:rPr>
          <w:rFonts w:ascii="Verdana" w:hAnsi="Verdana"/>
        </w:rPr>
        <w:t xml:space="preserve">Le transfert de la GEMAPI </w:t>
      </w:r>
      <w:r w:rsidR="00BD1381">
        <w:rPr>
          <w:rFonts w:ascii="Verdana" w:hAnsi="Verdana"/>
        </w:rPr>
        <w:t xml:space="preserve">impacte </w:t>
      </w:r>
      <w:r w:rsidR="001A1E49">
        <w:rPr>
          <w:rFonts w:ascii="Verdana" w:hAnsi="Verdana"/>
        </w:rPr>
        <w:t>la CLECT 2019</w:t>
      </w:r>
      <w:r w:rsidR="00BD1381">
        <w:rPr>
          <w:rFonts w:ascii="Verdana" w:hAnsi="Verdana"/>
        </w:rPr>
        <w:t xml:space="preserve"> et le transfert de l’éclairage public prévu en 2021 impactera aussi l’A.C.</w:t>
      </w:r>
    </w:p>
    <w:p w14:paraId="6F168C7E" w14:textId="77777777" w:rsidR="00255847" w:rsidRPr="00255847" w:rsidRDefault="00255847" w:rsidP="00314473">
      <w:pPr>
        <w:pStyle w:val="ListParagraph"/>
        <w:ind w:left="851" w:right="-567"/>
        <w:jc w:val="both"/>
        <w:rPr>
          <w:rFonts w:ascii="Verdana" w:hAnsi="Verdana"/>
        </w:rPr>
      </w:pPr>
    </w:p>
    <w:p w14:paraId="4F18B9DB" w14:textId="77777777" w:rsidR="00255847" w:rsidRPr="00255847" w:rsidRDefault="00030B8C" w:rsidP="001A1E49">
      <w:pPr>
        <w:pStyle w:val="NoSpacing"/>
        <w:ind w:left="143" w:firstLine="708"/>
        <w:rPr>
          <w:rFonts w:ascii="Verdana" w:hAnsi="Verdana"/>
        </w:rPr>
      </w:pPr>
      <w:r w:rsidRPr="00255847">
        <w:rPr>
          <w:rFonts w:ascii="Verdana" w:hAnsi="Verdana"/>
        </w:rPr>
        <w:t>2014 D.G.F. = 299 952 €</w:t>
      </w:r>
    </w:p>
    <w:p w14:paraId="029ED89C" w14:textId="77777777" w:rsidR="00030B8C" w:rsidRPr="00255847" w:rsidRDefault="00D92AB2" w:rsidP="00255847">
      <w:pPr>
        <w:pStyle w:val="NoSpacing"/>
        <w:ind w:left="143" w:firstLine="708"/>
        <w:rPr>
          <w:rFonts w:ascii="Verdana" w:hAnsi="Verdana"/>
        </w:rPr>
      </w:pPr>
      <w:r>
        <w:rPr>
          <w:rFonts w:ascii="Verdana" w:hAnsi="Verdana"/>
        </w:rPr>
        <w:t>2015 D.G.F. = 173 321</w:t>
      </w:r>
      <w:r w:rsidR="00030B8C" w:rsidRPr="00255847">
        <w:rPr>
          <w:rFonts w:ascii="Verdana" w:hAnsi="Verdana"/>
        </w:rPr>
        <w:t xml:space="preserve"> €</w:t>
      </w:r>
    </w:p>
    <w:p w14:paraId="22E8882E" w14:textId="77777777" w:rsidR="00255847" w:rsidRDefault="00030B8C" w:rsidP="00255847">
      <w:pPr>
        <w:pStyle w:val="NoSpacing"/>
        <w:ind w:left="143" w:firstLine="708"/>
        <w:rPr>
          <w:rFonts w:ascii="Verdana" w:hAnsi="Verdana"/>
        </w:rPr>
      </w:pPr>
      <w:r w:rsidRPr="00255847">
        <w:rPr>
          <w:rFonts w:ascii="Verdana" w:hAnsi="Verdana"/>
        </w:rPr>
        <w:t xml:space="preserve">2016 D.G.F. = </w:t>
      </w:r>
      <w:r w:rsidR="00D92AB2">
        <w:rPr>
          <w:rFonts w:ascii="Verdana" w:hAnsi="Verdana"/>
        </w:rPr>
        <w:t xml:space="preserve">  51 476</w:t>
      </w:r>
      <w:r w:rsidR="0049701B" w:rsidRPr="00255847">
        <w:rPr>
          <w:rFonts w:ascii="Verdana" w:hAnsi="Verdana"/>
        </w:rPr>
        <w:t xml:space="preserve"> €</w:t>
      </w:r>
    </w:p>
    <w:p w14:paraId="4DBD0655" w14:textId="77777777" w:rsidR="00030B8C" w:rsidRDefault="00255847" w:rsidP="00255847">
      <w:pPr>
        <w:pStyle w:val="NoSpacing"/>
        <w:ind w:left="143" w:firstLine="708"/>
        <w:rPr>
          <w:rFonts w:ascii="Verdana" w:hAnsi="Verdana"/>
        </w:rPr>
      </w:pPr>
      <w:r>
        <w:rPr>
          <w:rFonts w:ascii="Verdana" w:hAnsi="Verdana"/>
        </w:rPr>
        <w:t xml:space="preserve">2017 D.G.F. = </w:t>
      </w:r>
      <w:r w:rsidRPr="00255847">
        <w:rPr>
          <w:rFonts w:ascii="Verdana" w:hAnsi="Verdana"/>
        </w:rPr>
        <w:t xml:space="preserve"> </w:t>
      </w:r>
      <w:r w:rsidR="00D92AB2">
        <w:rPr>
          <w:rFonts w:ascii="Verdana" w:hAnsi="Verdana"/>
        </w:rPr>
        <w:t xml:space="preserve">         0 €</w:t>
      </w:r>
    </w:p>
    <w:p w14:paraId="67A8CF81" w14:textId="2A248F30" w:rsidR="001A1E49" w:rsidRDefault="001A1E49" w:rsidP="00255847">
      <w:pPr>
        <w:pStyle w:val="NoSpacing"/>
        <w:ind w:left="143" w:firstLine="708"/>
        <w:rPr>
          <w:rFonts w:ascii="Verdana" w:hAnsi="Verdana"/>
        </w:rPr>
      </w:pPr>
      <w:r>
        <w:rPr>
          <w:rFonts w:ascii="Verdana" w:hAnsi="Verdana"/>
        </w:rPr>
        <w:t>2018 D.G.F. =           0 €</w:t>
      </w:r>
    </w:p>
    <w:p w14:paraId="5795E327" w14:textId="7B1302E4" w:rsidR="00BD1381" w:rsidRDefault="00BD1381" w:rsidP="00255847">
      <w:pPr>
        <w:pStyle w:val="NoSpacing"/>
        <w:ind w:left="143" w:firstLine="708"/>
        <w:rPr>
          <w:rFonts w:ascii="Verdana" w:hAnsi="Verdana"/>
        </w:rPr>
      </w:pPr>
      <w:r>
        <w:rPr>
          <w:rFonts w:ascii="Verdana" w:hAnsi="Verdana"/>
        </w:rPr>
        <w:t>2018 D.G.F. =           0 €</w:t>
      </w:r>
    </w:p>
    <w:p w14:paraId="2362D6A5" w14:textId="305442AE" w:rsidR="009252B9" w:rsidRPr="00255847" w:rsidRDefault="009252B9" w:rsidP="00255847">
      <w:pPr>
        <w:pStyle w:val="NoSpacing"/>
        <w:ind w:left="143" w:firstLine="708"/>
        <w:rPr>
          <w:rFonts w:ascii="Verdana" w:hAnsi="Verdana"/>
        </w:rPr>
      </w:pPr>
      <w:r>
        <w:rPr>
          <w:rFonts w:ascii="Verdana" w:hAnsi="Verdana"/>
        </w:rPr>
        <w:t>2019 D.G.F. =           0 €</w:t>
      </w:r>
    </w:p>
    <w:p w14:paraId="522D85E4" w14:textId="77777777" w:rsidR="0049701B" w:rsidRDefault="0049701B" w:rsidP="00314473">
      <w:pPr>
        <w:pStyle w:val="ListParagraph"/>
        <w:ind w:left="851" w:right="-567"/>
        <w:jc w:val="both"/>
        <w:rPr>
          <w:rFonts w:ascii="Verdana" w:hAnsi="Verdana"/>
        </w:rPr>
      </w:pPr>
    </w:p>
    <w:p w14:paraId="37766999" w14:textId="318B86FF" w:rsidR="00F57532" w:rsidRDefault="00F421C1" w:rsidP="00314473">
      <w:pPr>
        <w:pStyle w:val="ListParagraph"/>
        <w:ind w:left="851" w:right="-567"/>
        <w:jc w:val="both"/>
        <w:rPr>
          <w:rFonts w:ascii="Verdana" w:hAnsi="Verdana"/>
        </w:rPr>
      </w:pPr>
      <w:r>
        <w:rPr>
          <w:rFonts w:ascii="Verdana" w:hAnsi="Verdana"/>
        </w:rPr>
        <w:t xml:space="preserve">Perte de </w:t>
      </w:r>
      <w:r w:rsidR="009252B9">
        <w:rPr>
          <w:rFonts w:ascii="Verdana" w:hAnsi="Verdana"/>
        </w:rPr>
        <w:t>1 274 963</w:t>
      </w:r>
      <w:r w:rsidR="00D92AB2">
        <w:rPr>
          <w:rFonts w:ascii="Verdana" w:hAnsi="Verdana"/>
        </w:rPr>
        <w:t xml:space="preserve"> € en </w:t>
      </w:r>
      <w:r w:rsidR="009252B9">
        <w:rPr>
          <w:rFonts w:ascii="Verdana" w:hAnsi="Verdana"/>
        </w:rPr>
        <w:t>6</w:t>
      </w:r>
      <w:r w:rsidR="00D92AB2">
        <w:rPr>
          <w:rFonts w:ascii="Verdana" w:hAnsi="Verdana"/>
        </w:rPr>
        <w:t xml:space="preserve"> ans.</w:t>
      </w:r>
    </w:p>
    <w:p w14:paraId="54BDF064" w14:textId="77777777" w:rsidR="00F57532" w:rsidRDefault="00F57532" w:rsidP="00314473">
      <w:pPr>
        <w:pStyle w:val="ListParagraph"/>
        <w:ind w:left="851" w:right="-567"/>
        <w:jc w:val="both"/>
        <w:rPr>
          <w:rFonts w:ascii="Verdana" w:hAnsi="Verdana"/>
        </w:rPr>
      </w:pPr>
    </w:p>
    <w:p w14:paraId="15BC160E" w14:textId="1FD3608C" w:rsidR="0049701B" w:rsidRPr="001A1E49" w:rsidRDefault="00D92AB2" w:rsidP="001A1E49">
      <w:pPr>
        <w:ind w:left="143" w:right="-567" w:firstLine="565"/>
        <w:jc w:val="both"/>
        <w:rPr>
          <w:rFonts w:ascii="Verdana" w:hAnsi="Verdana"/>
        </w:rPr>
      </w:pPr>
      <w:r w:rsidRPr="001A1E49">
        <w:rPr>
          <w:rFonts w:ascii="Verdana" w:hAnsi="Verdana"/>
        </w:rPr>
        <w:t xml:space="preserve"> De plus l’Etat ponctionne </w:t>
      </w:r>
      <w:r w:rsidR="001A1E49">
        <w:rPr>
          <w:rFonts w:ascii="Verdana" w:hAnsi="Verdana"/>
        </w:rPr>
        <w:t>en 201</w:t>
      </w:r>
      <w:r w:rsidR="00BD1381">
        <w:rPr>
          <w:rFonts w:ascii="Verdana" w:hAnsi="Verdana"/>
        </w:rPr>
        <w:t>9</w:t>
      </w:r>
      <w:r w:rsidR="001A1E49">
        <w:rPr>
          <w:rFonts w:ascii="Verdana" w:hAnsi="Verdana"/>
        </w:rPr>
        <w:t xml:space="preserve"> </w:t>
      </w:r>
      <w:r w:rsidRPr="001A1E49">
        <w:rPr>
          <w:rFonts w:ascii="Verdana" w:hAnsi="Verdana"/>
        </w:rPr>
        <w:t>la commune de :</w:t>
      </w:r>
    </w:p>
    <w:p w14:paraId="6BA6D5E0" w14:textId="77777777" w:rsidR="00D92AB2" w:rsidRDefault="00D92AB2" w:rsidP="00314473">
      <w:pPr>
        <w:pStyle w:val="ListParagraph"/>
        <w:ind w:left="851" w:right="-567"/>
        <w:jc w:val="both"/>
        <w:rPr>
          <w:rFonts w:ascii="Verdana" w:hAnsi="Verdana"/>
        </w:rPr>
      </w:pPr>
    </w:p>
    <w:p w14:paraId="7A67D474" w14:textId="211925FA" w:rsidR="00D92AB2" w:rsidRDefault="00BD1381" w:rsidP="00314473">
      <w:pPr>
        <w:pStyle w:val="ListParagraph"/>
        <w:ind w:left="851" w:right="-567"/>
        <w:jc w:val="both"/>
        <w:rPr>
          <w:rFonts w:ascii="Verdana" w:hAnsi="Verdana"/>
        </w:rPr>
      </w:pPr>
      <w:r>
        <w:rPr>
          <w:rFonts w:ascii="Verdana" w:hAnsi="Verdana"/>
        </w:rPr>
        <w:t>0</w:t>
      </w:r>
      <w:r w:rsidR="00D92AB2">
        <w:rPr>
          <w:rFonts w:ascii="Verdana" w:hAnsi="Verdana"/>
        </w:rPr>
        <w:t xml:space="preserve"> € au titre de la Loi SRU sur les logements sociaux</w:t>
      </w:r>
      <w:r>
        <w:rPr>
          <w:rFonts w:ascii="Verdana" w:hAnsi="Verdana"/>
        </w:rPr>
        <w:t xml:space="preserve"> grâce aux programmes réalisées </w:t>
      </w:r>
    </w:p>
    <w:p w14:paraId="7C4E5D7F" w14:textId="77777777" w:rsidR="00D92AB2" w:rsidRDefault="00D92AB2" w:rsidP="00314473">
      <w:pPr>
        <w:pStyle w:val="ListParagraph"/>
        <w:ind w:left="851" w:right="-567"/>
        <w:jc w:val="both"/>
        <w:rPr>
          <w:rFonts w:ascii="Verdana" w:hAnsi="Verdana"/>
        </w:rPr>
      </w:pPr>
      <w:r>
        <w:rPr>
          <w:rFonts w:ascii="Verdana" w:hAnsi="Verdana"/>
        </w:rPr>
        <w:t>55 946 € au titre de la participation au redressement du déficit de l’Etat</w:t>
      </w:r>
    </w:p>
    <w:p w14:paraId="6565DEF9" w14:textId="3FBDC23B" w:rsidR="00D92AB2" w:rsidRDefault="001A1E49" w:rsidP="00314473">
      <w:pPr>
        <w:pStyle w:val="ListParagraph"/>
        <w:ind w:left="851" w:right="-567"/>
        <w:jc w:val="both"/>
        <w:rPr>
          <w:rFonts w:ascii="Verdana" w:hAnsi="Verdana"/>
        </w:rPr>
      </w:pPr>
      <w:r>
        <w:rPr>
          <w:rFonts w:ascii="Verdana" w:hAnsi="Verdana"/>
        </w:rPr>
        <w:t>4</w:t>
      </w:r>
      <w:r w:rsidR="00BD1381">
        <w:rPr>
          <w:rFonts w:ascii="Verdana" w:hAnsi="Verdana"/>
        </w:rPr>
        <w:t>7 209</w:t>
      </w:r>
      <w:r w:rsidR="00D92AB2">
        <w:rPr>
          <w:rFonts w:ascii="Verdana" w:hAnsi="Verdana"/>
        </w:rPr>
        <w:t xml:space="preserve"> € au titre de la solidarité entre les communes riches et moins riches</w:t>
      </w:r>
    </w:p>
    <w:p w14:paraId="1027F0D1" w14:textId="597CF445" w:rsidR="00D92AB2" w:rsidRPr="00D92AB2" w:rsidRDefault="001A1E49" w:rsidP="00314473">
      <w:pPr>
        <w:pStyle w:val="ListParagraph"/>
        <w:ind w:left="851" w:right="-567"/>
        <w:jc w:val="both"/>
        <w:rPr>
          <w:rFonts w:ascii="Verdana" w:hAnsi="Verdana"/>
          <w:b/>
        </w:rPr>
      </w:pPr>
      <w:r>
        <w:rPr>
          <w:rFonts w:ascii="Verdana" w:hAnsi="Verdana"/>
          <w:b/>
        </w:rPr>
        <w:t xml:space="preserve">Soit au total =   </w:t>
      </w:r>
      <w:r w:rsidR="00BD1381">
        <w:rPr>
          <w:rFonts w:ascii="Verdana" w:hAnsi="Verdana"/>
          <w:b/>
        </w:rPr>
        <w:t xml:space="preserve">103 155 </w:t>
      </w:r>
      <w:r w:rsidR="00D92AB2" w:rsidRPr="00D92AB2">
        <w:rPr>
          <w:rFonts w:ascii="Verdana" w:hAnsi="Verdana"/>
          <w:b/>
        </w:rPr>
        <w:t>€</w:t>
      </w:r>
    </w:p>
    <w:p w14:paraId="674E4D27" w14:textId="77777777" w:rsidR="00E468D8" w:rsidRDefault="00E468D8" w:rsidP="00314473">
      <w:pPr>
        <w:pStyle w:val="ListParagraph"/>
        <w:ind w:left="851" w:right="-567"/>
        <w:jc w:val="both"/>
        <w:rPr>
          <w:rFonts w:ascii="Verdana" w:hAnsi="Verdana"/>
          <w:b/>
        </w:rPr>
      </w:pPr>
    </w:p>
    <w:p w14:paraId="41F2B918" w14:textId="77777777" w:rsidR="0049701B" w:rsidRDefault="0049701B" w:rsidP="00314473">
      <w:pPr>
        <w:pStyle w:val="ListParagraph"/>
        <w:ind w:left="851" w:right="-567"/>
        <w:jc w:val="both"/>
        <w:rPr>
          <w:rFonts w:ascii="Verdana" w:hAnsi="Verdana"/>
          <w:b/>
        </w:rPr>
      </w:pPr>
      <w:r w:rsidRPr="0049701B">
        <w:rPr>
          <w:rFonts w:ascii="Verdana" w:hAnsi="Verdana"/>
          <w:b/>
        </w:rPr>
        <w:t>Les taux de la fiscalité locale :</w:t>
      </w:r>
    </w:p>
    <w:p w14:paraId="17B3A517" w14:textId="77777777" w:rsidR="0081334A" w:rsidRDefault="0081334A" w:rsidP="00314473">
      <w:pPr>
        <w:pStyle w:val="ListParagraph"/>
        <w:ind w:left="851" w:right="-567"/>
        <w:jc w:val="both"/>
        <w:rPr>
          <w:rFonts w:ascii="Verdana" w:hAnsi="Verdana"/>
        </w:rPr>
      </w:pPr>
    </w:p>
    <w:p w14:paraId="61D10EE3" w14:textId="7406EDEC" w:rsidR="0049701B" w:rsidRDefault="00535BCB" w:rsidP="00314473">
      <w:pPr>
        <w:pStyle w:val="ListParagraph"/>
        <w:ind w:left="851" w:right="-567"/>
        <w:jc w:val="both"/>
        <w:rPr>
          <w:rFonts w:ascii="Verdana" w:hAnsi="Verdana"/>
        </w:rPr>
      </w:pPr>
      <w:r>
        <w:rPr>
          <w:rFonts w:ascii="Verdana" w:hAnsi="Verdana"/>
        </w:rPr>
        <w:t>En 201</w:t>
      </w:r>
      <w:r w:rsidR="00BD1381">
        <w:rPr>
          <w:rFonts w:ascii="Verdana" w:hAnsi="Verdana"/>
        </w:rPr>
        <w:t>9</w:t>
      </w:r>
      <w:r w:rsidR="00314473">
        <w:rPr>
          <w:rFonts w:ascii="Verdana" w:hAnsi="Verdana"/>
        </w:rPr>
        <w:t xml:space="preserve"> </w:t>
      </w:r>
      <w:r w:rsidR="00D14391">
        <w:rPr>
          <w:rFonts w:ascii="Verdana" w:hAnsi="Verdana"/>
        </w:rPr>
        <w:t xml:space="preserve">les taux </w:t>
      </w:r>
      <w:r w:rsidR="00314473">
        <w:rPr>
          <w:rFonts w:ascii="Verdana" w:hAnsi="Verdana"/>
        </w:rPr>
        <w:t>de la fiscalité</w:t>
      </w:r>
      <w:r w:rsidR="00F57532">
        <w:rPr>
          <w:rFonts w:ascii="Verdana" w:hAnsi="Verdana"/>
        </w:rPr>
        <w:t xml:space="preserve"> locale n’ont pas varié</w:t>
      </w:r>
      <w:r w:rsidR="0081334A">
        <w:rPr>
          <w:rFonts w:ascii="Verdana" w:hAnsi="Verdana"/>
        </w:rPr>
        <w:t xml:space="preserve"> depuis 2015</w:t>
      </w:r>
      <w:r>
        <w:rPr>
          <w:rFonts w:ascii="Verdana" w:hAnsi="Verdana"/>
        </w:rPr>
        <w:t>:</w:t>
      </w:r>
    </w:p>
    <w:p w14:paraId="2C3508C3" w14:textId="77777777" w:rsidR="00D14391" w:rsidRDefault="00535BCB" w:rsidP="00314473">
      <w:pPr>
        <w:pStyle w:val="ListParagraph"/>
        <w:ind w:left="851" w:right="-567"/>
        <w:jc w:val="both"/>
        <w:rPr>
          <w:rFonts w:ascii="Verdana" w:hAnsi="Verdana"/>
        </w:rPr>
      </w:pPr>
      <w:r>
        <w:rPr>
          <w:rFonts w:ascii="Verdana" w:hAnsi="Verdana"/>
        </w:rPr>
        <w:t xml:space="preserve">TH </w:t>
      </w:r>
      <w:r>
        <w:rPr>
          <w:rFonts w:ascii="Verdana" w:hAnsi="Verdana"/>
        </w:rPr>
        <w:tab/>
      </w:r>
      <w:r w:rsidR="00BD5013">
        <w:rPr>
          <w:rFonts w:ascii="Verdana" w:hAnsi="Verdana"/>
        </w:rPr>
        <w:tab/>
      </w:r>
      <w:r>
        <w:rPr>
          <w:rFonts w:ascii="Verdana" w:hAnsi="Verdana"/>
        </w:rPr>
        <w:t>= 8,03</w:t>
      </w:r>
    </w:p>
    <w:p w14:paraId="099DE2B5" w14:textId="77777777" w:rsidR="00D14391" w:rsidRDefault="00535BCB" w:rsidP="00314473">
      <w:pPr>
        <w:pStyle w:val="ListParagraph"/>
        <w:ind w:left="851" w:right="-567"/>
        <w:jc w:val="both"/>
        <w:rPr>
          <w:rFonts w:ascii="Verdana" w:hAnsi="Verdana"/>
        </w:rPr>
      </w:pPr>
      <w:r>
        <w:rPr>
          <w:rFonts w:ascii="Verdana" w:hAnsi="Verdana"/>
        </w:rPr>
        <w:t xml:space="preserve">TFB </w:t>
      </w:r>
      <w:r>
        <w:rPr>
          <w:rFonts w:ascii="Verdana" w:hAnsi="Verdana"/>
        </w:rPr>
        <w:tab/>
      </w:r>
      <w:r w:rsidR="00BD5013">
        <w:rPr>
          <w:rFonts w:ascii="Verdana" w:hAnsi="Verdana"/>
        </w:rPr>
        <w:tab/>
      </w:r>
      <w:r>
        <w:rPr>
          <w:rFonts w:ascii="Verdana" w:hAnsi="Verdana"/>
        </w:rPr>
        <w:t>= 19,01</w:t>
      </w:r>
    </w:p>
    <w:p w14:paraId="090EE045" w14:textId="77777777" w:rsidR="00D14391" w:rsidRDefault="00535BCB" w:rsidP="00314473">
      <w:pPr>
        <w:pStyle w:val="ListParagraph"/>
        <w:ind w:left="851" w:right="-567"/>
        <w:jc w:val="both"/>
        <w:rPr>
          <w:rFonts w:ascii="Verdana" w:hAnsi="Verdana"/>
        </w:rPr>
      </w:pPr>
      <w:r>
        <w:rPr>
          <w:rFonts w:ascii="Verdana" w:hAnsi="Verdana"/>
        </w:rPr>
        <w:t xml:space="preserve">TFNB </w:t>
      </w:r>
      <w:r>
        <w:rPr>
          <w:rFonts w:ascii="Verdana" w:hAnsi="Verdana"/>
        </w:rPr>
        <w:tab/>
        <w:t>= 48,82</w:t>
      </w:r>
    </w:p>
    <w:p w14:paraId="1ABE787B" w14:textId="77777777" w:rsidR="00C01E8F" w:rsidRDefault="00C01E8F" w:rsidP="00314473">
      <w:pPr>
        <w:pStyle w:val="ListParagraph"/>
        <w:ind w:left="851" w:right="-567"/>
        <w:jc w:val="both"/>
        <w:rPr>
          <w:rFonts w:ascii="Verdana" w:hAnsi="Verdana"/>
        </w:rPr>
      </w:pPr>
    </w:p>
    <w:p w14:paraId="1820D01E" w14:textId="77777777" w:rsidR="00216728" w:rsidRDefault="00216728" w:rsidP="00314473">
      <w:pPr>
        <w:pStyle w:val="ListParagraph"/>
        <w:ind w:left="851" w:right="-567"/>
        <w:jc w:val="both"/>
        <w:rPr>
          <w:rFonts w:ascii="Verdana" w:hAnsi="Verdana"/>
        </w:rPr>
      </w:pPr>
    </w:p>
    <w:p w14:paraId="3DDCC2AD" w14:textId="015CE051" w:rsidR="00107AFF" w:rsidRDefault="00107AFF" w:rsidP="00314473">
      <w:pPr>
        <w:pStyle w:val="ListParagraph"/>
        <w:ind w:left="851" w:right="-567"/>
        <w:jc w:val="both"/>
        <w:rPr>
          <w:rFonts w:ascii="Verdana" w:hAnsi="Verdana"/>
        </w:rPr>
      </w:pPr>
      <w:r>
        <w:rPr>
          <w:rFonts w:ascii="Verdana" w:hAnsi="Verdana"/>
        </w:rPr>
        <w:lastRenderedPageBreak/>
        <w:t xml:space="preserve">Sans hausse de fiscalité et en tenant compte </w:t>
      </w:r>
      <w:r w:rsidR="0046277E">
        <w:rPr>
          <w:rFonts w:ascii="Verdana" w:hAnsi="Verdana"/>
        </w:rPr>
        <w:t xml:space="preserve">seulement </w:t>
      </w:r>
      <w:r>
        <w:rPr>
          <w:rFonts w:ascii="Verdana" w:hAnsi="Verdana"/>
        </w:rPr>
        <w:t xml:space="preserve">de la hausse des bases, </w:t>
      </w:r>
      <w:r w:rsidR="00BD1381">
        <w:rPr>
          <w:rFonts w:ascii="Verdana" w:hAnsi="Verdana"/>
        </w:rPr>
        <w:t xml:space="preserve">et en tenant compte de la suppression de la TH, suppression compensée par l’Etat, </w:t>
      </w:r>
      <w:r w:rsidR="008A6FC1">
        <w:rPr>
          <w:rFonts w:ascii="Verdana" w:hAnsi="Verdana"/>
        </w:rPr>
        <w:t xml:space="preserve">en tenant compte également des nouvelles constructions en prévision, </w:t>
      </w:r>
      <w:r>
        <w:rPr>
          <w:rFonts w:ascii="Verdana" w:hAnsi="Verdana"/>
        </w:rPr>
        <w:t>le produit de la fiscalité locale pourrait être le suivant :</w:t>
      </w:r>
    </w:p>
    <w:p w14:paraId="59252E07" w14:textId="77777777" w:rsidR="00B5638B" w:rsidRDefault="00B5638B" w:rsidP="00314473">
      <w:pPr>
        <w:pStyle w:val="ListParagraph"/>
        <w:ind w:left="851" w:right="-567"/>
        <w:jc w:val="both"/>
        <w:rPr>
          <w:rFonts w:ascii="Verdana" w:hAnsi="Verdana"/>
        </w:rPr>
      </w:pPr>
    </w:p>
    <w:p w14:paraId="0263B1D1" w14:textId="6E5C7605" w:rsidR="0046277E" w:rsidRDefault="0081334A" w:rsidP="00314473">
      <w:pPr>
        <w:pStyle w:val="ListParagraph"/>
        <w:ind w:left="851" w:right="-567"/>
        <w:jc w:val="both"/>
        <w:rPr>
          <w:rFonts w:ascii="Verdana" w:hAnsi="Verdana"/>
        </w:rPr>
      </w:pPr>
      <w:r>
        <w:rPr>
          <w:rFonts w:ascii="Verdana" w:hAnsi="Verdana"/>
        </w:rPr>
        <w:t xml:space="preserve">BP 2015 </w:t>
      </w:r>
      <w:r w:rsidR="00BD1381">
        <w:rPr>
          <w:rFonts w:ascii="Verdana" w:hAnsi="Verdana"/>
        </w:rPr>
        <w:tab/>
      </w:r>
      <w:r>
        <w:rPr>
          <w:rFonts w:ascii="Verdana" w:hAnsi="Verdana"/>
        </w:rPr>
        <w:t>= 2 087 642</w:t>
      </w:r>
      <w:r w:rsidR="0046277E">
        <w:rPr>
          <w:rFonts w:ascii="Verdana" w:hAnsi="Verdana"/>
        </w:rPr>
        <w:t xml:space="preserve"> €</w:t>
      </w:r>
    </w:p>
    <w:p w14:paraId="45A94849" w14:textId="3AE8D3DF" w:rsidR="0046277E" w:rsidRDefault="0046277E" w:rsidP="00314473">
      <w:pPr>
        <w:pStyle w:val="ListParagraph"/>
        <w:ind w:left="851" w:right="-567"/>
        <w:jc w:val="both"/>
        <w:rPr>
          <w:rFonts w:ascii="Verdana" w:hAnsi="Verdana"/>
        </w:rPr>
      </w:pPr>
      <w:r>
        <w:rPr>
          <w:rFonts w:ascii="Verdana" w:hAnsi="Verdana"/>
        </w:rPr>
        <w:t xml:space="preserve">BP 2016 </w:t>
      </w:r>
      <w:r w:rsidR="0081334A">
        <w:rPr>
          <w:rFonts w:ascii="Verdana" w:hAnsi="Verdana"/>
        </w:rPr>
        <w:t xml:space="preserve"> </w:t>
      </w:r>
      <w:r w:rsidR="00BD1381">
        <w:rPr>
          <w:rFonts w:ascii="Verdana" w:hAnsi="Verdana"/>
        </w:rPr>
        <w:tab/>
      </w:r>
      <w:r>
        <w:rPr>
          <w:rFonts w:ascii="Verdana" w:hAnsi="Verdana"/>
        </w:rPr>
        <w:t xml:space="preserve">= </w:t>
      </w:r>
      <w:r w:rsidR="0081334A">
        <w:rPr>
          <w:rFonts w:ascii="Verdana" w:hAnsi="Verdana"/>
        </w:rPr>
        <w:t>1 915 486</w:t>
      </w:r>
      <w:r>
        <w:rPr>
          <w:rFonts w:ascii="Verdana" w:hAnsi="Verdana"/>
        </w:rPr>
        <w:t xml:space="preserve"> €</w:t>
      </w:r>
    </w:p>
    <w:p w14:paraId="0A46FC8E" w14:textId="1E6DBBAC" w:rsidR="0046277E" w:rsidRDefault="0046277E" w:rsidP="00314473">
      <w:pPr>
        <w:pStyle w:val="ListParagraph"/>
        <w:ind w:left="851" w:right="-567"/>
        <w:jc w:val="both"/>
        <w:rPr>
          <w:rFonts w:ascii="Verdana" w:hAnsi="Verdana"/>
        </w:rPr>
      </w:pPr>
      <w:r>
        <w:rPr>
          <w:rFonts w:ascii="Verdana" w:hAnsi="Verdana"/>
        </w:rPr>
        <w:t>BP 201</w:t>
      </w:r>
      <w:r w:rsidR="00DC784A">
        <w:rPr>
          <w:rFonts w:ascii="Verdana" w:hAnsi="Verdana"/>
        </w:rPr>
        <w:t xml:space="preserve">7 </w:t>
      </w:r>
      <w:r w:rsidR="00BD1381">
        <w:rPr>
          <w:rFonts w:ascii="Verdana" w:hAnsi="Verdana"/>
        </w:rPr>
        <w:tab/>
      </w:r>
      <w:r w:rsidR="00DC784A">
        <w:rPr>
          <w:rFonts w:ascii="Verdana" w:hAnsi="Verdana"/>
        </w:rPr>
        <w:t>=</w:t>
      </w:r>
      <w:r w:rsidR="00C40967">
        <w:rPr>
          <w:rFonts w:ascii="Verdana" w:hAnsi="Verdana"/>
        </w:rPr>
        <w:t xml:space="preserve"> </w:t>
      </w:r>
      <w:r w:rsidR="001A1E49">
        <w:rPr>
          <w:rFonts w:ascii="Verdana" w:hAnsi="Verdana"/>
        </w:rPr>
        <w:t>1 899 540</w:t>
      </w:r>
      <w:r>
        <w:rPr>
          <w:rFonts w:ascii="Verdana" w:hAnsi="Verdana"/>
        </w:rPr>
        <w:t xml:space="preserve"> €</w:t>
      </w:r>
    </w:p>
    <w:p w14:paraId="60538A82" w14:textId="11524B5D" w:rsidR="0046277E" w:rsidRPr="001A1E49" w:rsidRDefault="0046277E" w:rsidP="00314473">
      <w:pPr>
        <w:pStyle w:val="ListParagraph"/>
        <w:ind w:left="851" w:right="-567"/>
        <w:jc w:val="both"/>
        <w:rPr>
          <w:rFonts w:ascii="Verdana" w:hAnsi="Verdana"/>
        </w:rPr>
      </w:pPr>
      <w:r w:rsidRPr="001A1E49">
        <w:rPr>
          <w:rFonts w:ascii="Verdana" w:hAnsi="Verdana"/>
        </w:rPr>
        <w:t xml:space="preserve">BP 2018 </w:t>
      </w:r>
      <w:r w:rsidR="001A1E49">
        <w:rPr>
          <w:rFonts w:ascii="Verdana" w:hAnsi="Verdana"/>
        </w:rPr>
        <w:t xml:space="preserve"> </w:t>
      </w:r>
      <w:r w:rsidR="00BD1381">
        <w:rPr>
          <w:rFonts w:ascii="Verdana" w:hAnsi="Verdana"/>
        </w:rPr>
        <w:tab/>
      </w:r>
      <w:r w:rsidRPr="001A1E49">
        <w:rPr>
          <w:rFonts w:ascii="Verdana" w:hAnsi="Verdana"/>
        </w:rPr>
        <w:t xml:space="preserve">= </w:t>
      </w:r>
      <w:r w:rsidR="001A1E49">
        <w:rPr>
          <w:rFonts w:ascii="Verdana" w:hAnsi="Verdana"/>
        </w:rPr>
        <w:t>1 929 174</w:t>
      </w:r>
      <w:r w:rsidRPr="001A1E49">
        <w:rPr>
          <w:rFonts w:ascii="Verdana" w:hAnsi="Verdana"/>
        </w:rPr>
        <w:t xml:space="preserve"> €</w:t>
      </w:r>
    </w:p>
    <w:p w14:paraId="7FF57C88" w14:textId="499CBA3F" w:rsidR="0046277E" w:rsidRPr="00BD1381" w:rsidRDefault="0046277E" w:rsidP="00314473">
      <w:pPr>
        <w:pStyle w:val="ListParagraph"/>
        <w:ind w:left="851" w:right="-567"/>
        <w:jc w:val="both"/>
        <w:rPr>
          <w:rFonts w:ascii="Verdana" w:hAnsi="Verdana"/>
          <w:bCs/>
        </w:rPr>
      </w:pPr>
      <w:r w:rsidRPr="00BD1381">
        <w:rPr>
          <w:rFonts w:ascii="Verdana" w:hAnsi="Verdana"/>
          <w:bCs/>
        </w:rPr>
        <w:t>BP 2019</w:t>
      </w:r>
      <w:r w:rsidR="00BD1381">
        <w:rPr>
          <w:rFonts w:ascii="Verdana" w:hAnsi="Verdana"/>
          <w:bCs/>
        </w:rPr>
        <w:tab/>
      </w:r>
      <w:r w:rsidRPr="00BD1381">
        <w:rPr>
          <w:rFonts w:ascii="Verdana" w:hAnsi="Verdana"/>
          <w:bCs/>
        </w:rPr>
        <w:t xml:space="preserve">= </w:t>
      </w:r>
      <w:r w:rsidR="001A1E49" w:rsidRPr="00BD1381">
        <w:rPr>
          <w:rFonts w:ascii="Verdana" w:hAnsi="Verdana"/>
          <w:bCs/>
        </w:rPr>
        <w:t>1</w:t>
      </w:r>
      <w:r w:rsidR="00BD1381" w:rsidRPr="00BD1381">
        <w:rPr>
          <w:rFonts w:ascii="Verdana" w:hAnsi="Verdana"/>
          <w:bCs/>
        </w:rPr>
        <w:t> </w:t>
      </w:r>
      <w:r w:rsidR="001A1E49" w:rsidRPr="00BD1381">
        <w:rPr>
          <w:rFonts w:ascii="Verdana" w:hAnsi="Verdana"/>
          <w:bCs/>
        </w:rPr>
        <w:t>9</w:t>
      </w:r>
      <w:r w:rsidR="00BD1381" w:rsidRPr="00BD1381">
        <w:rPr>
          <w:rFonts w:ascii="Verdana" w:hAnsi="Verdana"/>
          <w:bCs/>
        </w:rPr>
        <w:t>95 148</w:t>
      </w:r>
      <w:r w:rsidR="00DC784A" w:rsidRPr="00BD1381">
        <w:rPr>
          <w:rFonts w:ascii="Verdana" w:hAnsi="Verdana"/>
          <w:bCs/>
        </w:rPr>
        <w:t xml:space="preserve"> </w:t>
      </w:r>
      <w:r w:rsidRPr="00BD1381">
        <w:rPr>
          <w:rFonts w:ascii="Verdana" w:hAnsi="Verdana"/>
          <w:bCs/>
        </w:rPr>
        <w:t>€</w:t>
      </w:r>
    </w:p>
    <w:p w14:paraId="07B76F69" w14:textId="6971A14B" w:rsidR="0046277E" w:rsidRDefault="0046277E" w:rsidP="00314473">
      <w:pPr>
        <w:pStyle w:val="ListParagraph"/>
        <w:ind w:left="851" w:right="-567"/>
        <w:jc w:val="both"/>
        <w:rPr>
          <w:rFonts w:ascii="Verdana" w:hAnsi="Verdana"/>
        </w:rPr>
      </w:pPr>
      <w:r>
        <w:rPr>
          <w:rFonts w:ascii="Verdana" w:hAnsi="Verdana"/>
        </w:rPr>
        <w:t xml:space="preserve">BP 2020 </w:t>
      </w:r>
      <w:r w:rsidR="0081334A">
        <w:rPr>
          <w:rFonts w:ascii="Verdana" w:hAnsi="Verdana"/>
        </w:rPr>
        <w:t xml:space="preserve"> </w:t>
      </w:r>
      <w:r w:rsidR="008A6FC1">
        <w:rPr>
          <w:rFonts w:ascii="Verdana" w:hAnsi="Verdana"/>
        </w:rPr>
        <w:tab/>
      </w:r>
      <w:r>
        <w:rPr>
          <w:rFonts w:ascii="Verdana" w:hAnsi="Verdana"/>
        </w:rPr>
        <w:t xml:space="preserve">= </w:t>
      </w:r>
      <w:r w:rsidR="008A6FC1">
        <w:rPr>
          <w:rFonts w:ascii="Verdana" w:hAnsi="Verdana"/>
        </w:rPr>
        <w:t>2 052 646</w:t>
      </w:r>
      <w:r w:rsidR="00DC784A">
        <w:rPr>
          <w:rFonts w:ascii="Verdana" w:hAnsi="Verdana"/>
        </w:rPr>
        <w:t xml:space="preserve"> </w:t>
      </w:r>
      <w:r>
        <w:rPr>
          <w:rFonts w:ascii="Verdana" w:hAnsi="Verdana"/>
        </w:rPr>
        <w:t>€</w:t>
      </w:r>
    </w:p>
    <w:p w14:paraId="2339C851" w14:textId="18A5C355" w:rsidR="001A1E49" w:rsidRDefault="001A1E49" w:rsidP="00314473">
      <w:pPr>
        <w:pStyle w:val="ListParagraph"/>
        <w:ind w:left="851" w:right="-567"/>
        <w:jc w:val="both"/>
        <w:rPr>
          <w:rFonts w:ascii="Verdana" w:hAnsi="Verdana"/>
        </w:rPr>
      </w:pPr>
      <w:r>
        <w:rPr>
          <w:rFonts w:ascii="Verdana" w:hAnsi="Verdana"/>
        </w:rPr>
        <w:t xml:space="preserve">BP 2021  </w:t>
      </w:r>
      <w:r w:rsidR="008A6FC1">
        <w:rPr>
          <w:rFonts w:ascii="Verdana" w:hAnsi="Verdana"/>
        </w:rPr>
        <w:tab/>
      </w:r>
      <w:r>
        <w:rPr>
          <w:rFonts w:ascii="Verdana" w:hAnsi="Verdana"/>
        </w:rPr>
        <w:t>= 2</w:t>
      </w:r>
      <w:r w:rsidR="008A6FC1">
        <w:rPr>
          <w:rFonts w:ascii="Verdana" w:hAnsi="Verdana"/>
        </w:rPr>
        <w:t> 103 965</w:t>
      </w:r>
      <w:r>
        <w:rPr>
          <w:rFonts w:ascii="Verdana" w:hAnsi="Verdana"/>
        </w:rPr>
        <w:t xml:space="preserve"> €</w:t>
      </w:r>
    </w:p>
    <w:p w14:paraId="7AC6959A" w14:textId="3CF5E4F4" w:rsidR="001A1E49" w:rsidRDefault="001A1E49" w:rsidP="00314473">
      <w:pPr>
        <w:pStyle w:val="ListParagraph"/>
        <w:ind w:left="851" w:right="-567"/>
        <w:jc w:val="both"/>
        <w:rPr>
          <w:rFonts w:ascii="Verdana" w:hAnsi="Verdana"/>
        </w:rPr>
      </w:pPr>
      <w:r>
        <w:rPr>
          <w:rFonts w:ascii="Verdana" w:hAnsi="Verdana"/>
        </w:rPr>
        <w:t xml:space="preserve">BP 2022  </w:t>
      </w:r>
      <w:r w:rsidR="008A6FC1">
        <w:rPr>
          <w:rFonts w:ascii="Verdana" w:hAnsi="Verdana"/>
        </w:rPr>
        <w:tab/>
      </w:r>
      <w:r>
        <w:rPr>
          <w:rFonts w:ascii="Verdana" w:hAnsi="Verdana"/>
        </w:rPr>
        <w:t>= 2</w:t>
      </w:r>
      <w:r w:rsidR="008A6FC1">
        <w:rPr>
          <w:rFonts w:ascii="Verdana" w:hAnsi="Verdana"/>
        </w:rPr>
        <w:t> 163 884</w:t>
      </w:r>
      <w:r>
        <w:rPr>
          <w:rFonts w:ascii="Verdana" w:hAnsi="Verdana"/>
        </w:rPr>
        <w:t xml:space="preserve"> €</w:t>
      </w:r>
    </w:p>
    <w:p w14:paraId="2F662E68" w14:textId="0D319A76" w:rsidR="001A1E49" w:rsidRDefault="001A1E49" w:rsidP="00314473">
      <w:pPr>
        <w:pStyle w:val="ListParagraph"/>
        <w:ind w:left="851" w:right="-567"/>
        <w:jc w:val="both"/>
        <w:rPr>
          <w:rFonts w:ascii="Verdana" w:hAnsi="Verdana"/>
        </w:rPr>
      </w:pPr>
      <w:r>
        <w:rPr>
          <w:rFonts w:ascii="Verdana" w:hAnsi="Verdana"/>
        </w:rPr>
        <w:t xml:space="preserve">BP 2023 </w:t>
      </w:r>
      <w:r w:rsidR="008A6FC1">
        <w:rPr>
          <w:rFonts w:ascii="Verdana" w:hAnsi="Verdana"/>
        </w:rPr>
        <w:tab/>
      </w:r>
      <w:r>
        <w:rPr>
          <w:rFonts w:ascii="Verdana" w:hAnsi="Verdana"/>
        </w:rPr>
        <w:t>= 2</w:t>
      </w:r>
      <w:r w:rsidR="008A6FC1">
        <w:rPr>
          <w:rFonts w:ascii="Verdana" w:hAnsi="Verdana"/>
        </w:rPr>
        <w:t> 214 407</w:t>
      </w:r>
      <w:r>
        <w:rPr>
          <w:rFonts w:ascii="Verdana" w:hAnsi="Verdana"/>
        </w:rPr>
        <w:t xml:space="preserve"> €</w:t>
      </w:r>
    </w:p>
    <w:p w14:paraId="7E0F1030" w14:textId="77777777" w:rsidR="001A1E49" w:rsidRDefault="001A1E49" w:rsidP="00314473">
      <w:pPr>
        <w:pStyle w:val="ListParagraph"/>
        <w:ind w:left="851" w:right="-567"/>
        <w:jc w:val="both"/>
        <w:rPr>
          <w:rFonts w:ascii="Verdana" w:hAnsi="Verdana"/>
        </w:rPr>
      </w:pPr>
    </w:p>
    <w:p w14:paraId="78762CFB" w14:textId="7BA7F4C3" w:rsidR="00535BCB" w:rsidRPr="009242BB" w:rsidRDefault="00535BCB" w:rsidP="009242BB">
      <w:pPr>
        <w:pStyle w:val="ListParagraph"/>
        <w:ind w:left="851" w:right="-567"/>
        <w:jc w:val="both"/>
        <w:rPr>
          <w:rFonts w:ascii="Verdana" w:hAnsi="Verdana"/>
        </w:rPr>
      </w:pPr>
      <w:r w:rsidRPr="009242BB">
        <w:rPr>
          <w:rFonts w:ascii="Verdana" w:hAnsi="Verdana"/>
          <w:b/>
        </w:rPr>
        <w:t>Proposition BP 20</w:t>
      </w:r>
      <w:r w:rsidR="008A6FC1">
        <w:rPr>
          <w:rFonts w:ascii="Verdana" w:hAnsi="Verdana"/>
          <w:b/>
        </w:rPr>
        <w:t>20</w:t>
      </w:r>
      <w:r w:rsidRPr="009242BB">
        <w:rPr>
          <w:rFonts w:ascii="Verdana" w:hAnsi="Verdana"/>
          <w:b/>
        </w:rPr>
        <w:t xml:space="preserve"> = maintien des taux de fiscalité actuels</w:t>
      </w:r>
    </w:p>
    <w:p w14:paraId="68A895B6" w14:textId="77777777" w:rsidR="00C01E8F" w:rsidRDefault="00C01E8F" w:rsidP="00314473">
      <w:pPr>
        <w:pStyle w:val="ListParagraph"/>
        <w:ind w:left="851" w:right="-567"/>
        <w:jc w:val="both"/>
        <w:rPr>
          <w:rFonts w:ascii="Verdana" w:hAnsi="Verdana"/>
        </w:rPr>
      </w:pPr>
    </w:p>
    <w:p w14:paraId="26846320" w14:textId="77777777" w:rsidR="00FF00E3" w:rsidRDefault="00FF00E3" w:rsidP="00314473">
      <w:pPr>
        <w:pStyle w:val="ListParagraph"/>
        <w:ind w:left="851" w:right="-567"/>
        <w:jc w:val="both"/>
        <w:rPr>
          <w:rFonts w:ascii="Verdana" w:hAnsi="Verdana"/>
          <w:b/>
          <w:u w:val="single"/>
        </w:rPr>
      </w:pPr>
    </w:p>
    <w:p w14:paraId="262C048B" w14:textId="77777777" w:rsidR="00BB6C75" w:rsidRDefault="00BB6C75" w:rsidP="00BB6C75">
      <w:pPr>
        <w:pStyle w:val="ListParagraph"/>
        <w:ind w:left="851" w:right="-567"/>
        <w:jc w:val="both"/>
        <w:rPr>
          <w:rFonts w:ascii="Verdana" w:hAnsi="Verdana"/>
          <w:b/>
          <w:u w:val="single"/>
        </w:rPr>
      </w:pPr>
    </w:p>
    <w:p w14:paraId="3FDB8DB4" w14:textId="226F62BF" w:rsidR="0081334A" w:rsidRPr="0076148D" w:rsidRDefault="0081334A" w:rsidP="0081334A">
      <w:pPr>
        <w:pStyle w:val="ListParagraph"/>
        <w:numPr>
          <w:ilvl w:val="0"/>
          <w:numId w:val="2"/>
        </w:numPr>
        <w:ind w:left="851" w:right="-567"/>
        <w:jc w:val="both"/>
        <w:rPr>
          <w:rFonts w:ascii="Verdana" w:hAnsi="Verdana"/>
          <w:b/>
          <w:u w:val="single"/>
        </w:rPr>
      </w:pPr>
      <w:r>
        <w:rPr>
          <w:rFonts w:ascii="Verdana" w:hAnsi="Verdana"/>
          <w:b/>
          <w:u w:val="single"/>
        </w:rPr>
        <w:t>L’INVESTISSEMENT</w:t>
      </w:r>
    </w:p>
    <w:p w14:paraId="64D80C61" w14:textId="77777777" w:rsidR="0081334A" w:rsidRDefault="0081334A" w:rsidP="0081334A">
      <w:pPr>
        <w:pStyle w:val="ListParagraph"/>
        <w:ind w:left="851" w:right="-567"/>
        <w:jc w:val="both"/>
        <w:rPr>
          <w:rFonts w:ascii="Verdana" w:hAnsi="Verdana"/>
          <w:b/>
          <w:u w:val="single"/>
        </w:rPr>
      </w:pPr>
    </w:p>
    <w:p w14:paraId="4F5FC4D9" w14:textId="6404D1BC" w:rsidR="003C5770" w:rsidRPr="0081334A" w:rsidRDefault="00681901" w:rsidP="0081334A">
      <w:pPr>
        <w:ind w:left="143" w:right="-567" w:firstLine="708"/>
        <w:jc w:val="both"/>
        <w:rPr>
          <w:rFonts w:ascii="Verdana" w:hAnsi="Verdana"/>
          <w:b/>
        </w:rPr>
      </w:pPr>
      <w:r>
        <w:rPr>
          <w:rFonts w:ascii="Verdana" w:hAnsi="Verdana"/>
          <w:b/>
        </w:rPr>
        <w:t>J</w:t>
      </w:r>
      <w:r w:rsidR="00D659AA" w:rsidRPr="0081334A">
        <w:rPr>
          <w:rFonts w:ascii="Verdana" w:hAnsi="Verdana"/>
          <w:b/>
        </w:rPr>
        <w:t>usqu’</w:t>
      </w:r>
      <w:r w:rsidR="008A6FC1">
        <w:rPr>
          <w:rFonts w:ascii="Verdana" w:hAnsi="Verdana"/>
          <w:b/>
        </w:rPr>
        <w:t>en 2023</w:t>
      </w:r>
      <w:r w:rsidR="003C5770" w:rsidRPr="0081334A">
        <w:rPr>
          <w:rFonts w:ascii="Verdana" w:hAnsi="Verdana"/>
          <w:b/>
        </w:rPr>
        <w:t> :</w:t>
      </w:r>
    </w:p>
    <w:p w14:paraId="280F89FB" w14:textId="77777777" w:rsidR="00D659AA" w:rsidRDefault="00D659AA" w:rsidP="00314473">
      <w:pPr>
        <w:pStyle w:val="ListParagraph"/>
        <w:ind w:left="851" w:right="-567"/>
        <w:jc w:val="both"/>
        <w:rPr>
          <w:rFonts w:ascii="Verdana" w:hAnsi="Verdana"/>
          <w:b/>
        </w:rPr>
      </w:pPr>
    </w:p>
    <w:p w14:paraId="772D3128" w14:textId="557D2EF4" w:rsidR="00D659AA" w:rsidRPr="00D659AA" w:rsidRDefault="00D659AA" w:rsidP="00314473">
      <w:pPr>
        <w:pStyle w:val="ListParagraph"/>
        <w:ind w:left="851" w:right="-567"/>
        <w:jc w:val="both"/>
        <w:rPr>
          <w:rFonts w:ascii="Verdana" w:hAnsi="Verdana"/>
        </w:rPr>
      </w:pPr>
      <w:r>
        <w:rPr>
          <w:rFonts w:ascii="Verdana" w:hAnsi="Verdana"/>
        </w:rPr>
        <w:t>La prospective financière de la collectivité en matière d’investissement permet d’envisager des dépenses d’</w:t>
      </w:r>
      <w:r w:rsidR="00F57532">
        <w:rPr>
          <w:rFonts w:ascii="Verdana" w:hAnsi="Verdana"/>
        </w:rPr>
        <w:t xml:space="preserve">investissement </w:t>
      </w:r>
      <w:r>
        <w:rPr>
          <w:rFonts w:ascii="Verdana" w:hAnsi="Verdana"/>
        </w:rPr>
        <w:t xml:space="preserve">à une hauteur de </w:t>
      </w:r>
      <w:r w:rsidR="008A6FC1">
        <w:rPr>
          <w:rFonts w:ascii="Verdana" w:hAnsi="Verdana"/>
          <w:b/>
        </w:rPr>
        <w:t>7 533 405</w:t>
      </w:r>
      <w:r w:rsidR="0081334A">
        <w:rPr>
          <w:rFonts w:ascii="Verdana" w:hAnsi="Verdana"/>
          <w:b/>
        </w:rPr>
        <w:t xml:space="preserve"> € </w:t>
      </w:r>
      <w:r w:rsidR="008A6FC1">
        <w:rPr>
          <w:rFonts w:ascii="Verdana" w:hAnsi="Verdana"/>
          <w:b/>
        </w:rPr>
        <w:t xml:space="preserve">réalisé </w:t>
      </w:r>
      <w:r w:rsidR="0081334A">
        <w:rPr>
          <w:rFonts w:ascii="Verdana" w:hAnsi="Verdana"/>
          <w:b/>
        </w:rPr>
        <w:t xml:space="preserve">sur </w:t>
      </w:r>
      <w:r w:rsidR="00681901">
        <w:rPr>
          <w:rFonts w:ascii="Verdana" w:hAnsi="Verdana"/>
          <w:b/>
        </w:rPr>
        <w:t>20</w:t>
      </w:r>
      <w:r w:rsidR="008A6FC1">
        <w:rPr>
          <w:rFonts w:ascii="Verdana" w:hAnsi="Verdana"/>
          <w:b/>
        </w:rPr>
        <w:t>20</w:t>
      </w:r>
      <w:r w:rsidR="00681901">
        <w:rPr>
          <w:rFonts w:ascii="Verdana" w:hAnsi="Verdana"/>
          <w:b/>
        </w:rPr>
        <w:t xml:space="preserve"> - 202</w:t>
      </w:r>
      <w:r w:rsidR="008A6FC1">
        <w:rPr>
          <w:rFonts w:ascii="Verdana" w:hAnsi="Verdana"/>
          <w:b/>
        </w:rPr>
        <w:t>3</w:t>
      </w:r>
      <w:r w:rsidR="00F57532">
        <w:rPr>
          <w:rFonts w:ascii="Verdana" w:hAnsi="Verdana"/>
        </w:rPr>
        <w:t xml:space="preserve"> (remboursement de la dette compris).</w:t>
      </w:r>
    </w:p>
    <w:p w14:paraId="1BC3B69B" w14:textId="77777777" w:rsidR="00044D7A" w:rsidRDefault="00044D7A" w:rsidP="00314473">
      <w:pPr>
        <w:pStyle w:val="ListParagraph"/>
        <w:ind w:left="851" w:right="-567"/>
        <w:jc w:val="both"/>
        <w:rPr>
          <w:rFonts w:ascii="Verdana" w:hAnsi="Verdana"/>
        </w:rPr>
      </w:pPr>
    </w:p>
    <w:p w14:paraId="3E412184" w14:textId="19B78531" w:rsidR="0081334A" w:rsidRPr="008A6FC1" w:rsidRDefault="00044D7A" w:rsidP="00314473">
      <w:pPr>
        <w:pStyle w:val="ListParagraph"/>
        <w:ind w:left="851" w:right="-567"/>
        <w:jc w:val="both"/>
        <w:rPr>
          <w:rFonts w:ascii="Verdana" w:hAnsi="Verdana"/>
          <w:b/>
          <w:bCs/>
        </w:rPr>
      </w:pPr>
      <w:r>
        <w:rPr>
          <w:rFonts w:ascii="Verdana" w:hAnsi="Verdana"/>
        </w:rPr>
        <w:t xml:space="preserve">Pour financer cette capacité d’investissement la commune aura recours à </w:t>
      </w:r>
      <w:r w:rsidR="00D659AA">
        <w:rPr>
          <w:rFonts w:ascii="Verdana" w:hAnsi="Verdana"/>
        </w:rPr>
        <w:t>une capac</w:t>
      </w:r>
      <w:r w:rsidR="00681901">
        <w:rPr>
          <w:rFonts w:ascii="Verdana" w:hAnsi="Verdana"/>
        </w:rPr>
        <w:t>ité d’épargne nette</w:t>
      </w:r>
      <w:r w:rsidR="00D659AA">
        <w:rPr>
          <w:rFonts w:ascii="Verdana" w:hAnsi="Verdana"/>
        </w:rPr>
        <w:t xml:space="preserve"> si les résultats des années </w:t>
      </w:r>
      <w:r w:rsidR="0081334A">
        <w:rPr>
          <w:rFonts w:ascii="Verdana" w:hAnsi="Verdana"/>
        </w:rPr>
        <w:t xml:space="preserve">à venir </w:t>
      </w:r>
      <w:r w:rsidR="00D659AA">
        <w:rPr>
          <w:rFonts w:ascii="Verdana" w:hAnsi="Verdana"/>
        </w:rPr>
        <w:t xml:space="preserve">se maintiennent avec les mêmes efforts de rigueur, </w:t>
      </w:r>
      <w:r w:rsidR="00D659AA" w:rsidRPr="00681901">
        <w:rPr>
          <w:rFonts w:ascii="Verdana" w:hAnsi="Verdana"/>
          <w:b/>
        </w:rPr>
        <w:t xml:space="preserve">de </w:t>
      </w:r>
      <w:r w:rsidR="00681901" w:rsidRPr="00681901">
        <w:rPr>
          <w:rFonts w:ascii="Verdana" w:hAnsi="Verdana"/>
          <w:b/>
        </w:rPr>
        <w:t>recherche d’économies en matière de</w:t>
      </w:r>
      <w:r w:rsidR="00681901">
        <w:rPr>
          <w:rFonts w:ascii="Verdana" w:hAnsi="Verdana"/>
        </w:rPr>
        <w:t xml:space="preserve"> </w:t>
      </w:r>
      <w:r w:rsidR="00681901" w:rsidRPr="00681901">
        <w:rPr>
          <w:rFonts w:ascii="Verdana" w:hAnsi="Verdana"/>
          <w:b/>
        </w:rPr>
        <w:t>dépenses de fonctionnement</w:t>
      </w:r>
      <w:r w:rsidR="00681901">
        <w:rPr>
          <w:rFonts w:ascii="Verdana" w:hAnsi="Verdana"/>
        </w:rPr>
        <w:t xml:space="preserve"> </w:t>
      </w:r>
      <w:r w:rsidR="00D659AA">
        <w:rPr>
          <w:rFonts w:ascii="Verdana" w:hAnsi="Verdana"/>
        </w:rPr>
        <w:t>et de recherche de subventions</w:t>
      </w:r>
      <w:r w:rsidR="008A6FC1">
        <w:rPr>
          <w:rFonts w:ascii="Verdana" w:hAnsi="Verdana"/>
        </w:rPr>
        <w:t xml:space="preserve"> et pour </w:t>
      </w:r>
      <w:r w:rsidR="008A6FC1" w:rsidRPr="008A6FC1">
        <w:rPr>
          <w:rFonts w:ascii="Verdana" w:hAnsi="Verdana"/>
          <w:b/>
          <w:bCs/>
        </w:rPr>
        <w:t>une recette estimée pour la période 2020 – 2023 de 6 507 541 €</w:t>
      </w:r>
    </w:p>
    <w:p w14:paraId="63AF8A2F" w14:textId="77777777" w:rsidR="0081334A" w:rsidRDefault="0081334A" w:rsidP="00314473">
      <w:pPr>
        <w:pStyle w:val="ListParagraph"/>
        <w:ind w:left="851" w:right="-567"/>
        <w:jc w:val="both"/>
        <w:rPr>
          <w:rFonts w:ascii="Verdana" w:hAnsi="Verdana"/>
        </w:rPr>
      </w:pPr>
    </w:p>
    <w:p w14:paraId="5700C5CE" w14:textId="41022DCF" w:rsidR="000A5FC7" w:rsidRPr="00107AE7" w:rsidRDefault="00D659AA" w:rsidP="008A6FC1">
      <w:pPr>
        <w:pStyle w:val="ListParagraph"/>
        <w:ind w:left="851" w:right="-567"/>
        <w:jc w:val="both"/>
        <w:rPr>
          <w:rFonts w:ascii="Verdana" w:hAnsi="Verdana"/>
        </w:rPr>
      </w:pPr>
      <w:r>
        <w:rPr>
          <w:rFonts w:ascii="Verdana" w:hAnsi="Verdana"/>
        </w:rPr>
        <w:t xml:space="preserve"> </w:t>
      </w:r>
      <w:r w:rsidR="00681901" w:rsidRPr="00107AE7">
        <w:rPr>
          <w:rFonts w:ascii="Verdana" w:hAnsi="Verdana"/>
        </w:rPr>
        <w:t>Pour l’année 20</w:t>
      </w:r>
      <w:r w:rsidR="008A6FC1">
        <w:rPr>
          <w:rFonts w:ascii="Verdana" w:hAnsi="Verdana"/>
        </w:rPr>
        <w:t>20</w:t>
      </w:r>
      <w:r w:rsidR="00811EDF" w:rsidRPr="00107AE7">
        <w:rPr>
          <w:rFonts w:ascii="Verdana" w:hAnsi="Verdana"/>
        </w:rPr>
        <w:t>, le budget d’investissemen</w:t>
      </w:r>
      <w:r w:rsidR="00E221C2">
        <w:rPr>
          <w:rFonts w:ascii="Verdana" w:hAnsi="Verdana"/>
        </w:rPr>
        <w:t xml:space="preserve">t (y compris remboursement du capital de la dette et RAR) </w:t>
      </w:r>
      <w:r w:rsidR="00681901" w:rsidRPr="00107AE7">
        <w:rPr>
          <w:rFonts w:ascii="Verdana" w:hAnsi="Verdana"/>
        </w:rPr>
        <w:t>est estimé à </w:t>
      </w:r>
    </w:p>
    <w:p w14:paraId="53B144F4" w14:textId="5E07BAAB" w:rsidR="004B705C" w:rsidRPr="00681901" w:rsidRDefault="00681901" w:rsidP="00681901">
      <w:pPr>
        <w:ind w:left="143" w:right="-567" w:firstLine="708"/>
        <w:jc w:val="center"/>
        <w:rPr>
          <w:rFonts w:ascii="Verdana" w:hAnsi="Verdana"/>
          <w:b/>
        </w:rPr>
      </w:pPr>
      <w:r w:rsidRPr="00681901">
        <w:rPr>
          <w:rFonts w:ascii="Verdana" w:hAnsi="Verdana"/>
          <w:b/>
        </w:rPr>
        <w:t xml:space="preserve">= </w:t>
      </w:r>
      <w:r w:rsidR="008A6FC1">
        <w:rPr>
          <w:rFonts w:ascii="Verdana" w:hAnsi="Verdana"/>
          <w:b/>
        </w:rPr>
        <w:t>3</w:t>
      </w:r>
      <w:r w:rsidR="00E221C2">
        <w:rPr>
          <w:rFonts w:ascii="Verdana" w:hAnsi="Verdana"/>
          <w:b/>
        </w:rPr>
        <w:t> 000 000</w:t>
      </w:r>
      <w:r w:rsidR="00811EDF" w:rsidRPr="00681901">
        <w:rPr>
          <w:rFonts w:ascii="Verdana" w:hAnsi="Verdana"/>
          <w:b/>
        </w:rPr>
        <w:t xml:space="preserve"> €</w:t>
      </w:r>
    </w:p>
    <w:p w14:paraId="52AF2BAB" w14:textId="77777777" w:rsidR="000A5FC7" w:rsidRDefault="000A5FC7" w:rsidP="00314473">
      <w:pPr>
        <w:pStyle w:val="ListParagraph"/>
        <w:ind w:left="851" w:right="-567"/>
        <w:jc w:val="both"/>
        <w:rPr>
          <w:rFonts w:ascii="Verdana" w:hAnsi="Verdana"/>
        </w:rPr>
      </w:pPr>
    </w:p>
    <w:p w14:paraId="252B0F99" w14:textId="77777777" w:rsidR="00811EDF" w:rsidRDefault="004B705C" w:rsidP="00314473">
      <w:pPr>
        <w:pStyle w:val="ListParagraph"/>
        <w:ind w:left="851" w:right="-567"/>
        <w:jc w:val="both"/>
        <w:rPr>
          <w:rFonts w:ascii="Verdana" w:hAnsi="Verdana"/>
        </w:rPr>
      </w:pPr>
      <w:r>
        <w:rPr>
          <w:rFonts w:ascii="Verdana" w:hAnsi="Verdana"/>
        </w:rPr>
        <w:t>Les</w:t>
      </w:r>
      <w:r w:rsidR="00811EDF">
        <w:rPr>
          <w:rFonts w:ascii="Verdana" w:hAnsi="Verdana"/>
        </w:rPr>
        <w:t xml:space="preserve"> projets essentiels</w:t>
      </w:r>
      <w:r w:rsidR="009739C2">
        <w:rPr>
          <w:rFonts w:ascii="Verdana" w:hAnsi="Verdana"/>
        </w:rPr>
        <w:t xml:space="preserve"> d’équipement</w:t>
      </w:r>
      <w:r>
        <w:rPr>
          <w:rFonts w:ascii="Verdana" w:hAnsi="Verdana"/>
        </w:rPr>
        <w:t xml:space="preserve"> sont détaillés ci-après. </w:t>
      </w:r>
    </w:p>
    <w:p w14:paraId="00021736" w14:textId="77777777" w:rsidR="004B705C" w:rsidRDefault="004B705C" w:rsidP="00314473">
      <w:pPr>
        <w:pStyle w:val="ListParagraph"/>
        <w:ind w:left="851" w:right="-567"/>
        <w:jc w:val="both"/>
        <w:rPr>
          <w:rFonts w:ascii="Verdana" w:hAnsi="Verdana"/>
        </w:rPr>
      </w:pPr>
    </w:p>
    <w:p w14:paraId="6B410FB0" w14:textId="0C246D7E" w:rsidR="000F5E01" w:rsidRDefault="00811EDF" w:rsidP="00314473">
      <w:pPr>
        <w:pStyle w:val="ListParagraph"/>
        <w:ind w:left="851" w:right="-567"/>
        <w:jc w:val="both"/>
        <w:rPr>
          <w:rFonts w:ascii="Verdana" w:hAnsi="Verdana"/>
        </w:rPr>
      </w:pPr>
      <w:r>
        <w:rPr>
          <w:rFonts w:ascii="Verdana" w:hAnsi="Verdana"/>
        </w:rPr>
        <w:t xml:space="preserve">Le projet de Bon Repos, </w:t>
      </w:r>
      <w:r w:rsidRPr="009739C2">
        <w:rPr>
          <w:rFonts w:ascii="Verdana" w:hAnsi="Verdana"/>
          <w:b/>
        </w:rPr>
        <w:t>dont le budget fait l’objet d’une étude</w:t>
      </w:r>
      <w:r>
        <w:rPr>
          <w:rFonts w:ascii="Verdana" w:hAnsi="Verdana"/>
        </w:rPr>
        <w:t xml:space="preserve"> </w:t>
      </w:r>
      <w:r w:rsidRPr="009739C2">
        <w:rPr>
          <w:rFonts w:ascii="Verdana" w:hAnsi="Verdana"/>
          <w:b/>
        </w:rPr>
        <w:t>particulière</w:t>
      </w:r>
      <w:r>
        <w:rPr>
          <w:rFonts w:ascii="Verdana" w:hAnsi="Verdana"/>
        </w:rPr>
        <w:t xml:space="preserve">, proposé un peu comme un budget annexe de manière à pouvoir le suivre et le traiter par des demandes de subventions adéquates, reste un </w:t>
      </w:r>
      <w:r>
        <w:rPr>
          <w:rFonts w:ascii="Verdana" w:hAnsi="Verdana"/>
        </w:rPr>
        <w:lastRenderedPageBreak/>
        <w:t xml:space="preserve">projet phare </w:t>
      </w:r>
      <w:r w:rsidR="00C4588F">
        <w:rPr>
          <w:rFonts w:ascii="Verdana" w:hAnsi="Verdana"/>
        </w:rPr>
        <w:t>de cette fin de mandat mais bien évidemment s’étale sur les années suivantes</w:t>
      </w:r>
      <w:r>
        <w:rPr>
          <w:rFonts w:ascii="Verdana" w:hAnsi="Verdana"/>
        </w:rPr>
        <w:t xml:space="preserve">. Dans la prospective financière que nous proposons au conseil, </w:t>
      </w:r>
      <w:r w:rsidR="00E221C2">
        <w:rPr>
          <w:rFonts w:ascii="Verdana" w:hAnsi="Verdana"/>
        </w:rPr>
        <w:t>les dépenses de Bon Repos concernant notamment la couverture sont inclues dans le programme global.</w:t>
      </w:r>
    </w:p>
    <w:p w14:paraId="3A03BF10" w14:textId="77777777" w:rsidR="00C4588F" w:rsidRDefault="00C4588F" w:rsidP="00314473">
      <w:pPr>
        <w:pStyle w:val="ListParagraph"/>
        <w:ind w:left="851" w:right="-567"/>
        <w:jc w:val="both"/>
        <w:rPr>
          <w:rFonts w:ascii="Verdana" w:hAnsi="Verdana"/>
          <w:b/>
        </w:rPr>
      </w:pPr>
    </w:p>
    <w:p w14:paraId="3CC58E46" w14:textId="27D41CA8" w:rsidR="00716418" w:rsidRPr="004B705C" w:rsidRDefault="00C4588F" w:rsidP="00314473">
      <w:pPr>
        <w:pStyle w:val="ListParagraph"/>
        <w:ind w:left="851" w:right="-567"/>
        <w:jc w:val="both"/>
        <w:rPr>
          <w:rFonts w:ascii="Verdana" w:hAnsi="Verdana"/>
          <w:b/>
        </w:rPr>
      </w:pPr>
      <w:r>
        <w:rPr>
          <w:rFonts w:ascii="Verdana" w:hAnsi="Verdana"/>
          <w:b/>
        </w:rPr>
        <w:t>Pour le BP 20</w:t>
      </w:r>
      <w:r w:rsidR="008A6FC1">
        <w:rPr>
          <w:rFonts w:ascii="Verdana" w:hAnsi="Verdana"/>
          <w:b/>
        </w:rPr>
        <w:t>20</w:t>
      </w:r>
      <w:r w:rsidR="00716418" w:rsidRPr="004B705C">
        <w:rPr>
          <w:rFonts w:ascii="Verdana" w:hAnsi="Verdana"/>
          <w:b/>
        </w:rPr>
        <w:t xml:space="preserve"> les orientations proposées </w:t>
      </w:r>
      <w:r w:rsidR="00F7558B" w:rsidRPr="004B705C">
        <w:rPr>
          <w:rFonts w:ascii="Verdana" w:hAnsi="Verdana"/>
          <w:b/>
        </w:rPr>
        <w:t xml:space="preserve">en investissement </w:t>
      </w:r>
      <w:r w:rsidR="00716418" w:rsidRPr="004B705C">
        <w:rPr>
          <w:rFonts w:ascii="Verdana" w:hAnsi="Verdana"/>
          <w:b/>
        </w:rPr>
        <w:t>sont les suivantes :</w:t>
      </w:r>
    </w:p>
    <w:p w14:paraId="01EFD585" w14:textId="77777777" w:rsidR="006C54B8" w:rsidRDefault="006C54B8" w:rsidP="00314473">
      <w:pPr>
        <w:pStyle w:val="ListParagraph"/>
        <w:ind w:left="851" w:right="-567"/>
        <w:jc w:val="both"/>
        <w:rPr>
          <w:rFonts w:ascii="Verdana" w:hAnsi="Verdana"/>
          <w:b/>
        </w:rPr>
      </w:pPr>
    </w:p>
    <w:p w14:paraId="68DF0ABB" w14:textId="6C891F90" w:rsidR="00B43F1F" w:rsidRDefault="00716418" w:rsidP="00314473">
      <w:pPr>
        <w:pStyle w:val="ListParagraph"/>
        <w:ind w:left="851" w:right="-567"/>
        <w:jc w:val="both"/>
        <w:rPr>
          <w:rFonts w:ascii="Verdana" w:hAnsi="Verdana"/>
          <w:b/>
        </w:rPr>
      </w:pPr>
      <w:r w:rsidRPr="00716418">
        <w:rPr>
          <w:rFonts w:ascii="Verdana" w:hAnsi="Verdana"/>
          <w:b/>
        </w:rPr>
        <w:t xml:space="preserve">Budget d’investissement = </w:t>
      </w:r>
      <w:r w:rsidR="008A6FC1">
        <w:rPr>
          <w:rFonts w:ascii="Verdana" w:hAnsi="Verdana"/>
          <w:b/>
        </w:rPr>
        <w:t>3</w:t>
      </w:r>
      <w:r w:rsidR="009140D9">
        <w:rPr>
          <w:rFonts w:ascii="Verdana" w:hAnsi="Verdana"/>
          <w:b/>
        </w:rPr>
        <w:t> 000 000</w:t>
      </w:r>
      <w:r w:rsidR="000A5FC7">
        <w:rPr>
          <w:rFonts w:ascii="Verdana" w:hAnsi="Verdana"/>
          <w:b/>
        </w:rPr>
        <w:t xml:space="preserve"> </w:t>
      </w:r>
      <w:r w:rsidRPr="00716418">
        <w:rPr>
          <w:rFonts w:ascii="Verdana" w:hAnsi="Verdana"/>
          <w:b/>
        </w:rPr>
        <w:t>€</w:t>
      </w:r>
      <w:r w:rsidR="00044D7A">
        <w:rPr>
          <w:rFonts w:ascii="Verdana" w:hAnsi="Verdana"/>
          <w:b/>
        </w:rPr>
        <w:t xml:space="preserve"> </w:t>
      </w:r>
    </w:p>
    <w:p w14:paraId="6F29C57F" w14:textId="77777777" w:rsidR="00BB6C75" w:rsidRDefault="00BB6C75" w:rsidP="00314473">
      <w:pPr>
        <w:pStyle w:val="ListParagraph"/>
        <w:ind w:left="851" w:right="-567"/>
        <w:jc w:val="both"/>
        <w:rPr>
          <w:rFonts w:ascii="Verdana" w:hAnsi="Verdana"/>
        </w:rPr>
      </w:pPr>
    </w:p>
    <w:p w14:paraId="4FABA9B6" w14:textId="42D48CC9" w:rsidR="00716418" w:rsidRPr="000C6D72" w:rsidRDefault="009140D9" w:rsidP="00314473">
      <w:pPr>
        <w:pStyle w:val="ListParagraph"/>
        <w:ind w:left="851" w:right="-567"/>
        <w:jc w:val="both"/>
        <w:rPr>
          <w:rFonts w:ascii="Verdana" w:hAnsi="Verdana"/>
        </w:rPr>
      </w:pPr>
      <w:r>
        <w:rPr>
          <w:rFonts w:ascii="Verdana" w:hAnsi="Verdana"/>
        </w:rPr>
        <w:t xml:space="preserve">A </w:t>
      </w:r>
      <w:r w:rsidR="00437D8E" w:rsidRPr="000C6D72">
        <w:rPr>
          <w:rFonts w:ascii="Verdana" w:hAnsi="Verdana"/>
        </w:rPr>
        <w:t xml:space="preserve">affiner </w:t>
      </w:r>
      <w:r>
        <w:rPr>
          <w:rFonts w:ascii="Verdana" w:hAnsi="Verdana"/>
        </w:rPr>
        <w:t xml:space="preserve">et arbitrer </w:t>
      </w:r>
      <w:r w:rsidR="00B528F1" w:rsidRPr="000C6D72">
        <w:rPr>
          <w:rFonts w:ascii="Verdana" w:hAnsi="Verdana"/>
        </w:rPr>
        <w:t>avec la commission finance</w:t>
      </w:r>
      <w:r w:rsidR="000A5FC7">
        <w:rPr>
          <w:rFonts w:ascii="Verdana" w:hAnsi="Verdana"/>
        </w:rPr>
        <w:t xml:space="preserve"> et les adjoints et leur direction dans chacun des domaines.</w:t>
      </w:r>
    </w:p>
    <w:p w14:paraId="079A8CAD" w14:textId="052A1B98" w:rsidR="00B43F1F" w:rsidRPr="00B43F1F" w:rsidRDefault="000C6D72" w:rsidP="00B43F1F">
      <w:pPr>
        <w:pStyle w:val="NoSpacing"/>
        <w:ind w:left="143" w:firstLine="708"/>
        <w:rPr>
          <w:rFonts w:ascii="Verdana" w:hAnsi="Verdana"/>
        </w:rPr>
      </w:pPr>
      <w:r w:rsidRPr="00B43F1F">
        <w:rPr>
          <w:rFonts w:ascii="Verdana" w:hAnsi="Verdana"/>
        </w:rPr>
        <w:t>Remboursement</w:t>
      </w:r>
      <w:r w:rsidR="00B43F1F" w:rsidRPr="00B43F1F">
        <w:rPr>
          <w:rFonts w:ascii="Verdana" w:hAnsi="Verdana"/>
        </w:rPr>
        <w:t xml:space="preserve"> du capital</w:t>
      </w:r>
      <w:r w:rsidRPr="00B43F1F">
        <w:rPr>
          <w:rFonts w:ascii="Verdana" w:hAnsi="Verdana"/>
        </w:rPr>
        <w:t xml:space="preserve"> de la dette</w:t>
      </w:r>
      <w:r w:rsidR="00B43F1F" w:rsidRPr="00B43F1F">
        <w:rPr>
          <w:rFonts w:ascii="Verdana" w:hAnsi="Verdana"/>
        </w:rPr>
        <w:t xml:space="preserve"> </w:t>
      </w:r>
      <w:r w:rsidR="00B43F1F" w:rsidRPr="00B43F1F">
        <w:rPr>
          <w:rFonts w:ascii="Verdana" w:hAnsi="Verdana"/>
        </w:rPr>
        <w:tab/>
      </w:r>
      <w:r w:rsidRPr="00B43F1F">
        <w:rPr>
          <w:rFonts w:ascii="Verdana" w:hAnsi="Verdana"/>
          <w:b/>
        </w:rPr>
        <w:t>=</w:t>
      </w:r>
      <w:r w:rsidRPr="00B43F1F">
        <w:rPr>
          <w:rFonts w:ascii="Verdana" w:hAnsi="Verdana"/>
        </w:rPr>
        <w:t xml:space="preserve"> </w:t>
      </w:r>
      <w:r w:rsidR="0083292E">
        <w:rPr>
          <w:rFonts w:ascii="Verdana" w:hAnsi="Verdana"/>
          <w:b/>
        </w:rPr>
        <w:t>289 511</w:t>
      </w:r>
      <w:r w:rsidRPr="00B43F1F">
        <w:rPr>
          <w:rFonts w:ascii="Verdana" w:hAnsi="Verdana"/>
          <w:b/>
        </w:rPr>
        <w:t xml:space="preserve"> €</w:t>
      </w:r>
      <w:r w:rsidR="00B43F1F" w:rsidRPr="00B43F1F">
        <w:rPr>
          <w:rFonts w:ascii="Verdana" w:hAnsi="Verdana"/>
        </w:rPr>
        <w:t xml:space="preserve"> </w:t>
      </w:r>
    </w:p>
    <w:p w14:paraId="4F138F5B" w14:textId="77777777" w:rsidR="000C6D72" w:rsidRPr="00B43F1F" w:rsidRDefault="00B43F1F" w:rsidP="00B43F1F">
      <w:pPr>
        <w:pStyle w:val="NoSpacing"/>
        <w:ind w:firstLine="851"/>
        <w:rPr>
          <w:rFonts w:ascii="Verdana" w:hAnsi="Verdana"/>
        </w:rPr>
      </w:pPr>
      <w:r w:rsidRPr="00B43F1F">
        <w:rPr>
          <w:rFonts w:ascii="Verdana" w:hAnsi="Verdana"/>
        </w:rPr>
        <w:t>si aucun emprunt n’est réalisé</w:t>
      </w:r>
    </w:p>
    <w:p w14:paraId="3C6F6CFA" w14:textId="77777777" w:rsidR="00B43F1F" w:rsidRDefault="00B43F1F" w:rsidP="000C6D72">
      <w:pPr>
        <w:pStyle w:val="ListParagraph"/>
        <w:ind w:left="851" w:right="-567"/>
        <w:jc w:val="both"/>
        <w:rPr>
          <w:rFonts w:ascii="Verdana" w:hAnsi="Verdana"/>
        </w:rPr>
      </w:pPr>
    </w:p>
    <w:p w14:paraId="19B48146" w14:textId="4C1683ED" w:rsidR="000C6D72" w:rsidRPr="00B30A5C" w:rsidRDefault="000C6D72" w:rsidP="000C6D72">
      <w:pPr>
        <w:pStyle w:val="ListParagraph"/>
        <w:ind w:left="851" w:right="-567"/>
        <w:jc w:val="both"/>
        <w:rPr>
          <w:rFonts w:ascii="Verdana" w:hAnsi="Verdana"/>
        </w:rPr>
      </w:pPr>
      <w:r w:rsidRPr="000C6D72">
        <w:rPr>
          <w:rFonts w:ascii="Verdana" w:hAnsi="Verdana"/>
        </w:rPr>
        <w:t>R</w:t>
      </w:r>
      <w:r w:rsidR="00BB6C75">
        <w:rPr>
          <w:rFonts w:ascii="Verdana" w:hAnsi="Verdana"/>
        </w:rPr>
        <w:t>estes à réaliser 2019</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4B705C">
        <w:rPr>
          <w:rFonts w:ascii="Verdana" w:hAnsi="Verdana"/>
          <w:b/>
        </w:rPr>
        <w:t>=</w:t>
      </w:r>
      <w:r w:rsidR="00B43F1F">
        <w:rPr>
          <w:rFonts w:ascii="Verdana" w:hAnsi="Verdana"/>
        </w:rPr>
        <w:t> </w:t>
      </w:r>
      <w:r w:rsidR="009140D9">
        <w:rPr>
          <w:rFonts w:ascii="Verdana" w:hAnsi="Verdana"/>
          <w:b/>
        </w:rPr>
        <w:t>429 159</w:t>
      </w:r>
      <w:r w:rsidRPr="000C6D72">
        <w:rPr>
          <w:rFonts w:ascii="Verdana" w:hAnsi="Verdana"/>
          <w:b/>
        </w:rPr>
        <w:t xml:space="preserve"> €</w:t>
      </w:r>
      <w:r w:rsidR="00B30A5C">
        <w:rPr>
          <w:rFonts w:ascii="Verdana" w:hAnsi="Verdana"/>
          <w:b/>
        </w:rPr>
        <w:t xml:space="preserve"> </w:t>
      </w:r>
      <w:r w:rsidR="00B30A5C">
        <w:rPr>
          <w:rFonts w:ascii="Verdana" w:hAnsi="Verdana"/>
        </w:rPr>
        <w:t xml:space="preserve"> </w:t>
      </w:r>
    </w:p>
    <w:p w14:paraId="3CD014B9" w14:textId="77777777" w:rsidR="00B43F1F" w:rsidRDefault="00B43F1F" w:rsidP="000C6D72">
      <w:pPr>
        <w:pStyle w:val="ListParagraph"/>
        <w:ind w:left="851" w:right="-567"/>
        <w:jc w:val="both"/>
        <w:rPr>
          <w:rFonts w:ascii="Verdana" w:hAnsi="Verdana"/>
        </w:rPr>
      </w:pPr>
    </w:p>
    <w:p w14:paraId="15B7E330" w14:textId="67005B52" w:rsidR="00716418" w:rsidRPr="00107AE7" w:rsidRDefault="00C4588F" w:rsidP="00C4588F">
      <w:pPr>
        <w:pStyle w:val="ListParagraph"/>
        <w:ind w:left="851" w:right="-567"/>
        <w:jc w:val="both"/>
        <w:rPr>
          <w:rFonts w:ascii="Verdana" w:hAnsi="Verdana"/>
          <w:b/>
        </w:rPr>
      </w:pPr>
      <w:r>
        <w:rPr>
          <w:rFonts w:ascii="Verdana" w:hAnsi="Verdana"/>
        </w:rPr>
        <w:t xml:space="preserve"> </w:t>
      </w:r>
      <w:r w:rsidR="00B43F1F" w:rsidRPr="00C4588F">
        <w:rPr>
          <w:rFonts w:ascii="Verdana" w:hAnsi="Verdana"/>
        </w:rPr>
        <w:t>Dépenses d’équipements</w:t>
      </w:r>
      <w:r w:rsidR="000912F3">
        <w:rPr>
          <w:rFonts w:ascii="Verdana" w:hAnsi="Verdana"/>
        </w:rPr>
        <w:t xml:space="preserve"> </w:t>
      </w:r>
      <w:r w:rsidR="00716418" w:rsidRPr="00C4588F">
        <w:rPr>
          <w:rFonts w:ascii="Verdana" w:hAnsi="Verdana"/>
        </w:rPr>
        <w:t>:</w:t>
      </w:r>
      <w:r w:rsidR="00107AE7">
        <w:rPr>
          <w:rFonts w:ascii="Verdana" w:hAnsi="Verdana"/>
        </w:rPr>
        <w:t xml:space="preserve"> = </w:t>
      </w:r>
      <w:r w:rsidR="009140D9">
        <w:rPr>
          <w:rFonts w:ascii="Verdana" w:hAnsi="Verdana"/>
          <w:b/>
        </w:rPr>
        <w:t>2 281 329</w:t>
      </w:r>
      <w:r w:rsidR="00107AE7" w:rsidRPr="00107AE7">
        <w:rPr>
          <w:rFonts w:ascii="Verdana" w:hAnsi="Verdana"/>
          <w:b/>
        </w:rPr>
        <w:t xml:space="preserve"> €</w:t>
      </w:r>
    </w:p>
    <w:p w14:paraId="0490D1FD" w14:textId="77777777" w:rsidR="00BB6C75" w:rsidRDefault="00BB6C75" w:rsidP="00BB6C75">
      <w:pPr>
        <w:pStyle w:val="ListParagraph"/>
        <w:ind w:left="1276" w:right="-567"/>
        <w:jc w:val="both"/>
        <w:rPr>
          <w:rFonts w:ascii="Verdana" w:hAnsi="Verdana"/>
        </w:rPr>
      </w:pPr>
    </w:p>
    <w:p w14:paraId="4A936415" w14:textId="5E232009" w:rsidR="00B43F1F" w:rsidRDefault="00864CB3" w:rsidP="009D1BC5">
      <w:pPr>
        <w:pStyle w:val="ListParagraph"/>
        <w:numPr>
          <w:ilvl w:val="0"/>
          <w:numId w:val="3"/>
        </w:numPr>
        <w:ind w:left="1276" w:right="-567"/>
        <w:jc w:val="both"/>
        <w:rPr>
          <w:rFonts w:ascii="Verdana" w:hAnsi="Verdana"/>
        </w:rPr>
      </w:pPr>
      <w:r>
        <w:rPr>
          <w:noProof/>
          <w:lang w:val="en-US"/>
        </w:rPr>
        <mc:AlternateContent>
          <mc:Choice Requires="wps">
            <w:drawing>
              <wp:anchor distT="0" distB="0" distL="114300" distR="114300" simplePos="0" relativeHeight="251658752" behindDoc="0" locked="0" layoutInCell="1" allowOverlap="1" wp14:anchorId="6A4DAB08" wp14:editId="026E0EEF">
                <wp:simplePos x="0" y="0"/>
                <wp:positionH relativeFrom="column">
                  <wp:posOffset>4652866</wp:posOffset>
                </wp:positionH>
                <wp:positionV relativeFrom="paragraph">
                  <wp:posOffset>18029</wp:posOffset>
                </wp:positionV>
                <wp:extent cx="952500" cy="5327126"/>
                <wp:effectExtent l="0" t="0" r="19050" b="26035"/>
                <wp:wrapNone/>
                <wp:docPr id="12" name="Accolade fermante 12"/>
                <wp:cNvGraphicFramePr/>
                <a:graphic xmlns:a="http://schemas.openxmlformats.org/drawingml/2006/main">
                  <a:graphicData uri="http://schemas.microsoft.com/office/word/2010/wordprocessingShape">
                    <wps:wsp>
                      <wps:cNvSpPr/>
                      <wps:spPr>
                        <a:xfrm>
                          <a:off x="0" y="0"/>
                          <a:ext cx="952500" cy="5327126"/>
                        </a:xfrm>
                        <a:prstGeom prst="rightBrace">
                          <a:avLst>
                            <a:gd name="adj1" fmla="val 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5F5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2" o:spid="_x0000_s1026" type="#_x0000_t88" style="position:absolute;margin-left:366.35pt;margin-top:1.4pt;width:75pt;height:4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JJfgIAAGcFAAAOAAAAZHJzL2Uyb0RvYy54bWysVFtv0zAUfkfiP1h+Z2nCurFq6VQ2DSFN&#10;28SG9uw5dmPwjWO3afn1HDtJW2BCCPHinJNz/c7t/GJjNFkLCMrZmpZHE0qE5a5RdlnTz4/Xb95R&#10;EiKzDdPOippuRaAX89evzjs/E5VrnW4EEHRiw6zzNW1j9LOiCLwVhoUj54VFoXRgWEQWlkUDrEPv&#10;RhfVZHJSdA4aD46LEPDvVS+k8+xfSsHjnZRBRKJrirnF/EJ+n9NbzM/ZbAnMt4oPabB/yMIwZTHo&#10;ztUVi4ysQP3myigOLjgZj7gzhZNScZExIJpy8guah5Z5kbFgcYLflSn8P7f8dn0PRDXYu4oSywz2&#10;aMG506wRRAosu42CoAwL1fkwQ/0Hfw8DF5BMqDcSTPoiHrLJxd3uiis2kXD8eTatphNsAUfR9G11&#10;WlYnyWmxt/YQ4gfhDElETUEt2/geGE8lYDO2vgkxl7gZ8mTNl5ISaTR2bM00Gbt5IEdMezmGxwT6&#10;mIM3jD5GxVQSwB5SpuJWixRQ209CYo0QRJlTydMpLjUQDFvT5ms5eM2ayUQqrXdGkz8bDbrJTOSJ&#10;/VvDnXaO6GzcGRplHbwUNW7GVGWvP6LusSbYz67Z4kiA63cleH6tsB83LMR7Blhq7CEufLzDR2rX&#10;1dQNFCWtg+8v/U/6OLMopaTDZatp+LZiICjRHy1O81l5fJy2MzPH09MKGTiUPB9K7MpcOqw7Nh+z&#10;y2TSj3okJTjzhHdhkaKiiFmOsWvKI4zMZeyPAF4WLhaLrIYb6Vm8sQ+ej51Ow/G4eWLgh6GMOM63&#10;blzMYSr7kdrrpn5Yt1hFJ1VMwn1dBwa3GamfzsUhn7X293H+AwAA//8DAFBLAwQUAAYACAAAACEA&#10;XfbIXN0AAAAJAQAADwAAAGRycy9kb3ducmV2LnhtbEyPQU+DQBCF7yb+h82YeLNLUQtBlsZUjTdN&#10;qYnXLQwskZ0l7BbQX+/0pLd5eS9vvpdvF9uLCUffOVKwXkUgkCpXd9Qq+Di83KQgfNBU694RKvhG&#10;D9vi8iLXWe1m2uNUhlZwCflMKzAhDJmUvjJotV+5AYm9xo1WB5ZjK+tRz1xuexlH0UZa3RF/MHrA&#10;ncHqqzxZBfF+en7fDU3zef8zl2+0ecJXc1Dq+mp5fAARcAl/YTjjMzoUzHR0J6q96BUkt3HCUS7j&#10;Beyn6Vkf+bhbJyCLXP5fUPwCAAD//wMAUEsBAi0AFAAGAAgAAAAhALaDOJL+AAAA4QEAABMAAAAA&#10;AAAAAAAAAAAAAAAAAFtDb250ZW50X1R5cGVzXS54bWxQSwECLQAUAAYACAAAACEAOP0h/9YAAACU&#10;AQAACwAAAAAAAAAAAAAAAAAvAQAAX3JlbHMvLnJlbHNQSwECLQAUAAYACAAAACEAJeRySX4CAABn&#10;BQAADgAAAAAAAAAAAAAAAAAuAgAAZHJzL2Uyb0RvYy54bWxQSwECLQAUAAYACAAAACEAXfbIXN0A&#10;AAAJAQAADwAAAAAAAAAAAAAAAADYBAAAZHJzL2Rvd25yZXYueG1sUEsFBgAAAAAEAAQA8wAAAOIF&#10;AAAAAA==&#10;" adj="0" strokecolor="black [3040]"/>
            </w:pict>
          </mc:Fallback>
        </mc:AlternateContent>
      </w:r>
      <w:r w:rsidR="00284AFD">
        <w:rPr>
          <w:rFonts w:ascii="Verdana" w:hAnsi="Verdana"/>
        </w:rPr>
        <w:t>A</w:t>
      </w:r>
      <w:r w:rsidR="009140D9">
        <w:rPr>
          <w:rFonts w:ascii="Verdana" w:hAnsi="Verdana"/>
        </w:rPr>
        <w:t>DAP 2020</w:t>
      </w:r>
    </w:p>
    <w:p w14:paraId="13734396" w14:textId="53CF4F60" w:rsidR="000C6D72" w:rsidRDefault="00284AFD" w:rsidP="009D1BC5">
      <w:pPr>
        <w:pStyle w:val="ListParagraph"/>
        <w:numPr>
          <w:ilvl w:val="0"/>
          <w:numId w:val="3"/>
        </w:numPr>
        <w:ind w:left="1276" w:right="-567"/>
        <w:jc w:val="both"/>
        <w:rPr>
          <w:rFonts w:ascii="Verdana" w:hAnsi="Verdana"/>
        </w:rPr>
      </w:pPr>
      <w:r>
        <w:rPr>
          <w:rFonts w:ascii="Verdana" w:hAnsi="Verdana"/>
        </w:rPr>
        <w:t>Rénovation énergétique</w:t>
      </w:r>
      <w:r w:rsidR="000C6D72">
        <w:rPr>
          <w:rFonts w:ascii="Verdana" w:hAnsi="Verdana"/>
        </w:rPr>
        <w:t xml:space="preserve"> des bâtiments communaux</w:t>
      </w:r>
    </w:p>
    <w:p w14:paraId="34B695EA" w14:textId="2838017C" w:rsidR="009140D9" w:rsidRDefault="009140D9" w:rsidP="009D1BC5">
      <w:pPr>
        <w:pStyle w:val="ListParagraph"/>
        <w:numPr>
          <w:ilvl w:val="0"/>
          <w:numId w:val="3"/>
        </w:numPr>
        <w:ind w:left="1276" w:right="-567"/>
        <w:jc w:val="both"/>
        <w:rPr>
          <w:rFonts w:ascii="Verdana" w:hAnsi="Verdana"/>
        </w:rPr>
      </w:pPr>
      <w:r>
        <w:rPr>
          <w:rFonts w:ascii="Verdana" w:hAnsi="Verdana"/>
        </w:rPr>
        <w:t>Travaux PARI et conventionnement</w:t>
      </w:r>
    </w:p>
    <w:p w14:paraId="47F48FAF" w14:textId="39087878" w:rsidR="00284AFD" w:rsidRDefault="00F7558B" w:rsidP="000C6D72">
      <w:pPr>
        <w:pStyle w:val="ListParagraph"/>
        <w:numPr>
          <w:ilvl w:val="0"/>
          <w:numId w:val="3"/>
        </w:numPr>
        <w:ind w:left="1276" w:right="-851"/>
        <w:jc w:val="both"/>
        <w:rPr>
          <w:rFonts w:ascii="Verdana" w:hAnsi="Verdana"/>
        </w:rPr>
      </w:pPr>
      <w:r>
        <w:rPr>
          <w:rFonts w:ascii="Verdana" w:hAnsi="Verdana"/>
        </w:rPr>
        <w:t>Divers</w:t>
      </w:r>
      <w:r w:rsidR="000912F3">
        <w:rPr>
          <w:rFonts w:ascii="Verdana" w:hAnsi="Verdana"/>
        </w:rPr>
        <w:t>es</w:t>
      </w:r>
      <w:r>
        <w:rPr>
          <w:rFonts w:ascii="Verdana" w:hAnsi="Verdana"/>
        </w:rPr>
        <w:t xml:space="preserve"> mises en conformité des bâtiments communaux</w:t>
      </w:r>
    </w:p>
    <w:p w14:paraId="0C38FD47" w14:textId="2EE01E51" w:rsidR="00107AE7" w:rsidRDefault="00C4588F" w:rsidP="00284AFD">
      <w:pPr>
        <w:pStyle w:val="ListParagraph"/>
        <w:numPr>
          <w:ilvl w:val="0"/>
          <w:numId w:val="3"/>
        </w:numPr>
        <w:ind w:left="1276" w:right="-851"/>
        <w:jc w:val="both"/>
        <w:rPr>
          <w:rFonts w:ascii="Verdana" w:hAnsi="Verdana"/>
        </w:rPr>
      </w:pPr>
      <w:r>
        <w:rPr>
          <w:rFonts w:ascii="Verdana" w:hAnsi="Verdana"/>
        </w:rPr>
        <w:t xml:space="preserve">Ecole Victor Pignat </w:t>
      </w:r>
    </w:p>
    <w:p w14:paraId="66F7D5ED" w14:textId="2FB52AA3" w:rsidR="009140D9" w:rsidRDefault="009140D9" w:rsidP="00284AFD">
      <w:pPr>
        <w:pStyle w:val="ListParagraph"/>
        <w:numPr>
          <w:ilvl w:val="0"/>
          <w:numId w:val="3"/>
        </w:numPr>
        <w:ind w:left="1276" w:right="-851"/>
        <w:jc w:val="both"/>
        <w:rPr>
          <w:rFonts w:ascii="Verdana" w:hAnsi="Verdana"/>
        </w:rPr>
      </w:pPr>
      <w:r>
        <w:rPr>
          <w:rFonts w:ascii="Verdana" w:hAnsi="Verdana"/>
        </w:rPr>
        <w:t>Bon Repos</w:t>
      </w:r>
    </w:p>
    <w:p w14:paraId="54316DB4" w14:textId="6D2E767C" w:rsidR="009140D9" w:rsidRDefault="009140D9" w:rsidP="00284AFD">
      <w:pPr>
        <w:pStyle w:val="ListParagraph"/>
        <w:numPr>
          <w:ilvl w:val="0"/>
          <w:numId w:val="3"/>
        </w:numPr>
        <w:ind w:left="1276" w:right="-851"/>
        <w:jc w:val="both"/>
        <w:rPr>
          <w:rFonts w:ascii="Verdana" w:hAnsi="Verdana"/>
        </w:rPr>
      </w:pPr>
      <w:r>
        <w:rPr>
          <w:rFonts w:ascii="Verdana" w:hAnsi="Verdana"/>
        </w:rPr>
        <w:t>Espace Paul Bernard</w:t>
      </w:r>
    </w:p>
    <w:p w14:paraId="2A846850" w14:textId="79FC9270" w:rsidR="009140D9" w:rsidRDefault="009140D9" w:rsidP="00284AFD">
      <w:pPr>
        <w:pStyle w:val="ListParagraph"/>
        <w:numPr>
          <w:ilvl w:val="0"/>
          <w:numId w:val="3"/>
        </w:numPr>
        <w:ind w:left="1276" w:right="-851"/>
        <w:jc w:val="both"/>
        <w:rPr>
          <w:rFonts w:ascii="Verdana" w:hAnsi="Verdana"/>
        </w:rPr>
      </w:pPr>
      <w:r>
        <w:rPr>
          <w:rFonts w:ascii="Verdana" w:hAnsi="Verdana"/>
        </w:rPr>
        <w:t>Eglise St Etienne</w:t>
      </w:r>
      <w:r w:rsidR="004B3414">
        <w:rPr>
          <w:rFonts w:ascii="Verdana" w:hAnsi="Verdana"/>
        </w:rPr>
        <w:t xml:space="preserve"> et cloche des Charbonneaux</w:t>
      </w:r>
    </w:p>
    <w:p w14:paraId="43419A08" w14:textId="79321F21" w:rsidR="009140D9" w:rsidRDefault="009140D9" w:rsidP="00284AFD">
      <w:pPr>
        <w:pStyle w:val="ListParagraph"/>
        <w:numPr>
          <w:ilvl w:val="0"/>
          <w:numId w:val="3"/>
        </w:numPr>
        <w:ind w:left="1276" w:right="-851"/>
        <w:jc w:val="both"/>
        <w:rPr>
          <w:rFonts w:ascii="Verdana" w:hAnsi="Verdana"/>
        </w:rPr>
      </w:pPr>
      <w:r>
        <w:rPr>
          <w:rFonts w:ascii="Verdana" w:hAnsi="Verdana"/>
        </w:rPr>
        <w:t>Cimetières</w:t>
      </w:r>
    </w:p>
    <w:p w14:paraId="12E12CA7" w14:textId="37E9BF95" w:rsidR="009140D9" w:rsidRDefault="009140D9" w:rsidP="00284AFD">
      <w:pPr>
        <w:pStyle w:val="ListParagraph"/>
        <w:numPr>
          <w:ilvl w:val="0"/>
          <w:numId w:val="3"/>
        </w:numPr>
        <w:ind w:left="1276" w:right="-851"/>
        <w:jc w:val="both"/>
        <w:rPr>
          <w:rFonts w:ascii="Verdana" w:hAnsi="Verdana"/>
        </w:rPr>
      </w:pPr>
      <w:r>
        <w:rPr>
          <w:rFonts w:ascii="Verdana" w:hAnsi="Verdana"/>
        </w:rPr>
        <w:t>Malraux</w:t>
      </w:r>
    </w:p>
    <w:p w14:paraId="1D67801D" w14:textId="01303735" w:rsidR="009140D9" w:rsidRDefault="009140D9" w:rsidP="00284AFD">
      <w:pPr>
        <w:pStyle w:val="ListParagraph"/>
        <w:numPr>
          <w:ilvl w:val="0"/>
          <w:numId w:val="3"/>
        </w:numPr>
        <w:ind w:left="1276" w:right="-851"/>
        <w:jc w:val="both"/>
        <w:rPr>
          <w:rFonts w:ascii="Verdana" w:hAnsi="Verdana"/>
        </w:rPr>
      </w:pPr>
      <w:r>
        <w:rPr>
          <w:rFonts w:ascii="Verdana" w:hAnsi="Verdana"/>
        </w:rPr>
        <w:t>Médiathèque</w:t>
      </w:r>
    </w:p>
    <w:p w14:paraId="31C28A4D" w14:textId="1AD9C2C7" w:rsidR="009140D9" w:rsidRDefault="009140D9" w:rsidP="00284AFD">
      <w:pPr>
        <w:pStyle w:val="ListParagraph"/>
        <w:numPr>
          <w:ilvl w:val="0"/>
          <w:numId w:val="3"/>
        </w:numPr>
        <w:ind w:left="1276" w:right="-851"/>
        <w:jc w:val="both"/>
        <w:rPr>
          <w:rFonts w:ascii="Verdana" w:hAnsi="Verdana"/>
        </w:rPr>
      </w:pPr>
      <w:r>
        <w:rPr>
          <w:rFonts w:ascii="Verdana" w:hAnsi="Verdana"/>
        </w:rPr>
        <w:t>Musée</w:t>
      </w:r>
    </w:p>
    <w:p w14:paraId="46B575A4" w14:textId="77777777" w:rsidR="009140D9" w:rsidRDefault="009140D9" w:rsidP="009140D9">
      <w:pPr>
        <w:pStyle w:val="ListParagraph"/>
        <w:numPr>
          <w:ilvl w:val="0"/>
          <w:numId w:val="3"/>
        </w:numPr>
        <w:ind w:left="1276" w:right="-851"/>
        <w:jc w:val="both"/>
        <w:rPr>
          <w:rFonts w:ascii="Verdana" w:hAnsi="Verdana"/>
        </w:rPr>
      </w:pPr>
      <w:r>
        <w:rPr>
          <w:rFonts w:ascii="Verdana" w:hAnsi="Verdana"/>
        </w:rPr>
        <w:t>Ecole</w:t>
      </w:r>
    </w:p>
    <w:p w14:paraId="55DE6170" w14:textId="35B6F3D8" w:rsidR="000C6D72" w:rsidRPr="009140D9" w:rsidRDefault="00C4588F" w:rsidP="009140D9">
      <w:pPr>
        <w:pStyle w:val="ListParagraph"/>
        <w:numPr>
          <w:ilvl w:val="0"/>
          <w:numId w:val="3"/>
        </w:numPr>
        <w:ind w:left="1276" w:right="-851"/>
        <w:jc w:val="both"/>
        <w:rPr>
          <w:rFonts w:ascii="Verdana" w:hAnsi="Verdana"/>
        </w:rPr>
      </w:pPr>
      <w:r w:rsidRPr="009140D9">
        <w:rPr>
          <w:rFonts w:ascii="Verdana" w:hAnsi="Verdana"/>
        </w:rPr>
        <w:t>Cantine Louvarou</w:t>
      </w:r>
      <w:r w:rsidR="000C6D72" w:rsidRPr="009140D9">
        <w:rPr>
          <w:rFonts w:ascii="Verdana" w:hAnsi="Verdana"/>
        </w:rPr>
        <w:tab/>
      </w:r>
      <w:r w:rsidR="000C6D72" w:rsidRPr="009140D9">
        <w:rPr>
          <w:rFonts w:ascii="Verdana" w:hAnsi="Verdana"/>
        </w:rPr>
        <w:tab/>
      </w:r>
      <w:r w:rsidR="000C6D72" w:rsidRPr="009140D9">
        <w:rPr>
          <w:rFonts w:ascii="Verdana" w:hAnsi="Verdana"/>
        </w:rPr>
        <w:tab/>
      </w:r>
      <w:r w:rsidR="000C6D72" w:rsidRPr="009140D9">
        <w:rPr>
          <w:rFonts w:ascii="Verdana" w:hAnsi="Verdana"/>
        </w:rPr>
        <w:tab/>
      </w:r>
      <w:r w:rsidR="000C6D72" w:rsidRPr="009140D9">
        <w:rPr>
          <w:rFonts w:ascii="Verdana" w:hAnsi="Verdana"/>
        </w:rPr>
        <w:tab/>
      </w:r>
      <w:r w:rsidR="000C6D72" w:rsidRPr="009140D9">
        <w:rPr>
          <w:rFonts w:ascii="Verdana" w:hAnsi="Verdana"/>
        </w:rPr>
        <w:tab/>
      </w:r>
      <w:r w:rsidR="000C6D72" w:rsidRPr="009140D9">
        <w:rPr>
          <w:rFonts w:ascii="Verdana" w:hAnsi="Verdana"/>
        </w:rPr>
        <w:tab/>
      </w:r>
    </w:p>
    <w:p w14:paraId="55E4A6C4" w14:textId="599BBADA" w:rsidR="00107AE7" w:rsidRPr="0083292E" w:rsidRDefault="000C6D72" w:rsidP="0083292E">
      <w:pPr>
        <w:pStyle w:val="ListParagraph"/>
        <w:numPr>
          <w:ilvl w:val="0"/>
          <w:numId w:val="3"/>
        </w:numPr>
        <w:ind w:left="1276" w:right="-567"/>
        <w:jc w:val="both"/>
        <w:rPr>
          <w:rFonts w:ascii="Verdana" w:hAnsi="Verdana"/>
        </w:rPr>
      </w:pPr>
      <w:r>
        <w:rPr>
          <w:rFonts w:ascii="Verdana" w:hAnsi="Verdana"/>
        </w:rPr>
        <w:t>Vidéo protection</w:t>
      </w:r>
      <w:r w:rsidR="00107AE7" w:rsidRPr="0083292E">
        <w:rPr>
          <w:rFonts w:ascii="Verdana" w:hAnsi="Verdana"/>
        </w:rPr>
        <w:tab/>
      </w:r>
      <w:r w:rsidR="00107AE7" w:rsidRPr="0083292E">
        <w:rPr>
          <w:rFonts w:ascii="Verdana" w:hAnsi="Verdana"/>
        </w:rPr>
        <w:tab/>
      </w:r>
      <w:r w:rsidR="00107AE7" w:rsidRPr="0083292E">
        <w:rPr>
          <w:rFonts w:ascii="Verdana" w:hAnsi="Verdana"/>
        </w:rPr>
        <w:tab/>
      </w:r>
    </w:p>
    <w:p w14:paraId="3FDE7F06" w14:textId="7640EF9D" w:rsidR="00107AE7" w:rsidRDefault="005D244D" w:rsidP="009D1BC5">
      <w:pPr>
        <w:pStyle w:val="ListParagraph"/>
        <w:numPr>
          <w:ilvl w:val="0"/>
          <w:numId w:val="3"/>
        </w:numPr>
        <w:ind w:left="1276" w:right="-567"/>
        <w:jc w:val="both"/>
        <w:rPr>
          <w:rFonts w:ascii="Verdana" w:hAnsi="Verdana"/>
        </w:rPr>
      </w:pPr>
      <w:r>
        <w:rPr>
          <w:rFonts w:ascii="Verdana" w:hAnsi="Verdana"/>
        </w:rPr>
        <w:t xml:space="preserve">Local </w:t>
      </w:r>
      <w:r w:rsidR="009140D9">
        <w:rPr>
          <w:rFonts w:ascii="Verdana" w:hAnsi="Verdana"/>
        </w:rPr>
        <w:t>Chasse</w:t>
      </w:r>
    </w:p>
    <w:p w14:paraId="34355DD6" w14:textId="1A44090F" w:rsidR="009140D9" w:rsidRDefault="009140D9" w:rsidP="009D1BC5">
      <w:pPr>
        <w:pStyle w:val="ListParagraph"/>
        <w:numPr>
          <w:ilvl w:val="0"/>
          <w:numId w:val="3"/>
        </w:numPr>
        <w:ind w:left="1276" w:right="-567"/>
        <w:jc w:val="both"/>
        <w:rPr>
          <w:rFonts w:ascii="Verdana" w:hAnsi="Verdana"/>
        </w:rPr>
      </w:pPr>
      <w:r>
        <w:rPr>
          <w:rFonts w:ascii="Verdana" w:hAnsi="Verdana"/>
        </w:rPr>
        <w:t>Stade Pillet</w:t>
      </w:r>
    </w:p>
    <w:p w14:paraId="4BA71191" w14:textId="7B0FF969" w:rsidR="009140D9" w:rsidRDefault="009140D9" w:rsidP="009D1BC5">
      <w:pPr>
        <w:pStyle w:val="ListParagraph"/>
        <w:numPr>
          <w:ilvl w:val="0"/>
          <w:numId w:val="3"/>
        </w:numPr>
        <w:ind w:left="1276" w:right="-567"/>
        <w:jc w:val="both"/>
        <w:rPr>
          <w:rFonts w:ascii="Verdana" w:hAnsi="Verdana"/>
        </w:rPr>
      </w:pPr>
      <w:r>
        <w:rPr>
          <w:rFonts w:ascii="Verdana" w:hAnsi="Verdana"/>
        </w:rPr>
        <w:t>Travaux ONF</w:t>
      </w:r>
    </w:p>
    <w:p w14:paraId="55BBF081" w14:textId="48C0E7AB" w:rsidR="000C6D72" w:rsidRDefault="00107AE7" w:rsidP="009D1BC5">
      <w:pPr>
        <w:pStyle w:val="ListParagraph"/>
        <w:numPr>
          <w:ilvl w:val="0"/>
          <w:numId w:val="3"/>
        </w:numPr>
        <w:ind w:left="1276" w:right="-567"/>
        <w:jc w:val="both"/>
        <w:rPr>
          <w:rFonts w:ascii="Verdana" w:hAnsi="Verdana"/>
        </w:rPr>
      </w:pPr>
      <w:r>
        <w:rPr>
          <w:rFonts w:ascii="Verdana" w:hAnsi="Verdana"/>
        </w:rPr>
        <w:t>Véhicules et matériel dont informatique</w:t>
      </w:r>
    </w:p>
    <w:p w14:paraId="2B846EED" w14:textId="0933465F" w:rsidR="009140D9" w:rsidRDefault="009140D9" w:rsidP="009D1BC5">
      <w:pPr>
        <w:pStyle w:val="ListParagraph"/>
        <w:numPr>
          <w:ilvl w:val="0"/>
          <w:numId w:val="3"/>
        </w:numPr>
        <w:ind w:left="1276" w:right="-567"/>
        <w:jc w:val="both"/>
        <w:rPr>
          <w:rFonts w:ascii="Verdana" w:hAnsi="Verdana"/>
        </w:rPr>
      </w:pPr>
      <w:r>
        <w:rPr>
          <w:rFonts w:ascii="Verdana" w:hAnsi="Verdana"/>
        </w:rPr>
        <w:t>Matériel entretien</w:t>
      </w:r>
      <w:r w:rsidR="00864CB3">
        <w:rPr>
          <w:rFonts w:ascii="Verdana" w:hAnsi="Verdana"/>
        </w:rPr>
        <w:t xml:space="preserve"> et STE</w:t>
      </w:r>
    </w:p>
    <w:p w14:paraId="26067136" w14:textId="3016D4DE" w:rsidR="00107AE7" w:rsidRDefault="00864CB3" w:rsidP="009D1BC5">
      <w:pPr>
        <w:pStyle w:val="ListParagraph"/>
        <w:numPr>
          <w:ilvl w:val="0"/>
          <w:numId w:val="3"/>
        </w:numPr>
        <w:ind w:left="1276" w:right="-567"/>
        <w:jc w:val="both"/>
        <w:rPr>
          <w:rFonts w:ascii="Verdana" w:hAnsi="Verdana"/>
        </w:rPr>
      </w:pPr>
      <w:r>
        <w:rPr>
          <w:rFonts w:ascii="Verdana" w:hAnsi="Verdana"/>
        </w:rPr>
        <w:t>Foncier</w:t>
      </w:r>
    </w:p>
    <w:p w14:paraId="76F10FAD" w14:textId="4A6C5E14" w:rsidR="00864CB3" w:rsidRDefault="00864CB3" w:rsidP="009D1BC5">
      <w:pPr>
        <w:pStyle w:val="ListParagraph"/>
        <w:numPr>
          <w:ilvl w:val="0"/>
          <w:numId w:val="3"/>
        </w:numPr>
        <w:ind w:left="1276" w:right="-567"/>
        <w:jc w:val="both"/>
        <w:rPr>
          <w:rFonts w:ascii="Verdana" w:hAnsi="Verdana"/>
        </w:rPr>
      </w:pPr>
      <w:r>
        <w:rPr>
          <w:rFonts w:ascii="Verdana" w:hAnsi="Verdana"/>
        </w:rPr>
        <w:t>Aménagement Pierre du Perron</w:t>
      </w:r>
    </w:p>
    <w:p w14:paraId="3A61F404" w14:textId="3CD0B3A3" w:rsidR="00864CB3" w:rsidRDefault="00864CB3" w:rsidP="009D1BC5">
      <w:pPr>
        <w:pStyle w:val="ListParagraph"/>
        <w:numPr>
          <w:ilvl w:val="0"/>
          <w:numId w:val="3"/>
        </w:numPr>
        <w:ind w:left="1276" w:right="-567"/>
        <w:jc w:val="both"/>
        <w:rPr>
          <w:rFonts w:ascii="Verdana" w:hAnsi="Verdana"/>
        </w:rPr>
      </w:pPr>
      <w:r>
        <w:rPr>
          <w:rFonts w:ascii="Verdana" w:hAnsi="Verdana"/>
        </w:rPr>
        <w:t>Aménagement Jules Ferry</w:t>
      </w:r>
    </w:p>
    <w:p w14:paraId="6031F11E" w14:textId="77777777" w:rsidR="00107AE7" w:rsidRDefault="00107AE7" w:rsidP="009D1BC5">
      <w:pPr>
        <w:pStyle w:val="ListParagraph"/>
        <w:numPr>
          <w:ilvl w:val="0"/>
          <w:numId w:val="3"/>
        </w:numPr>
        <w:ind w:left="1276" w:right="-567"/>
        <w:jc w:val="both"/>
        <w:rPr>
          <w:rFonts w:ascii="Verdana" w:hAnsi="Verdana"/>
        </w:rPr>
      </w:pPr>
      <w:r>
        <w:rPr>
          <w:rFonts w:ascii="Verdana" w:hAnsi="Verdana"/>
        </w:rPr>
        <w:t>Logiciels</w:t>
      </w:r>
    </w:p>
    <w:p w14:paraId="76FBF731" w14:textId="77777777" w:rsidR="00107AE7" w:rsidRDefault="00107AE7" w:rsidP="009D1BC5">
      <w:pPr>
        <w:pStyle w:val="ListParagraph"/>
        <w:numPr>
          <w:ilvl w:val="0"/>
          <w:numId w:val="3"/>
        </w:numPr>
        <w:ind w:left="1276" w:right="-567"/>
        <w:jc w:val="both"/>
        <w:rPr>
          <w:rFonts w:ascii="Verdana" w:hAnsi="Verdana"/>
        </w:rPr>
      </w:pPr>
      <w:r>
        <w:rPr>
          <w:rFonts w:ascii="Verdana" w:hAnsi="Verdana"/>
        </w:rPr>
        <w:t>Panneaux à message variable</w:t>
      </w:r>
    </w:p>
    <w:p w14:paraId="07874166" w14:textId="4F329D27" w:rsidR="00B43F1F" w:rsidRPr="00864CB3" w:rsidRDefault="00107AE7" w:rsidP="00864CB3">
      <w:pPr>
        <w:pStyle w:val="ListParagraph"/>
        <w:numPr>
          <w:ilvl w:val="0"/>
          <w:numId w:val="3"/>
        </w:numPr>
        <w:ind w:left="1276" w:right="-567"/>
        <w:jc w:val="both"/>
        <w:rPr>
          <w:rFonts w:ascii="Verdana" w:hAnsi="Verdana"/>
        </w:rPr>
      </w:pPr>
      <w:r>
        <w:rPr>
          <w:rFonts w:ascii="Verdana" w:hAnsi="Verdana"/>
        </w:rPr>
        <w:t>Travaux voirie diverses en abondement Métro</w:t>
      </w:r>
    </w:p>
    <w:p w14:paraId="7688C6B0" w14:textId="783B388F" w:rsidR="0083292E" w:rsidRDefault="0083292E" w:rsidP="00314473">
      <w:pPr>
        <w:pStyle w:val="NoSpacing"/>
        <w:ind w:left="851" w:right="-567"/>
        <w:jc w:val="both"/>
        <w:rPr>
          <w:rFonts w:ascii="Verdana" w:hAnsi="Verdana"/>
        </w:rPr>
      </w:pPr>
    </w:p>
    <w:p w14:paraId="12F5B213" w14:textId="77777777" w:rsidR="0083292E" w:rsidRPr="00B82953" w:rsidRDefault="0083292E" w:rsidP="00314473">
      <w:pPr>
        <w:pStyle w:val="NoSpacing"/>
        <w:ind w:left="851" w:right="-567"/>
        <w:jc w:val="both"/>
        <w:rPr>
          <w:rFonts w:ascii="Verdana" w:hAnsi="Verdana"/>
          <w:b/>
        </w:rPr>
      </w:pPr>
    </w:p>
    <w:p w14:paraId="6AE4A85D" w14:textId="30F7EBDF" w:rsidR="00467A99" w:rsidRDefault="00467A99" w:rsidP="00314473">
      <w:pPr>
        <w:pStyle w:val="NoSpacing"/>
        <w:ind w:left="851" w:right="-567"/>
        <w:jc w:val="both"/>
        <w:rPr>
          <w:rFonts w:ascii="Verdana" w:hAnsi="Verdana"/>
        </w:rPr>
      </w:pPr>
      <w:r>
        <w:rPr>
          <w:rFonts w:ascii="Verdana" w:hAnsi="Verdana"/>
        </w:rPr>
        <w:t>La commune en cours de désen</w:t>
      </w:r>
      <w:r w:rsidR="00437D8E">
        <w:rPr>
          <w:rFonts w:ascii="Verdana" w:hAnsi="Verdana"/>
        </w:rPr>
        <w:t xml:space="preserve">dettement, va retrouver en </w:t>
      </w:r>
      <w:r w:rsidR="008A1409">
        <w:rPr>
          <w:rFonts w:ascii="Verdana" w:hAnsi="Verdana"/>
        </w:rPr>
        <w:t xml:space="preserve">2020 </w:t>
      </w:r>
      <w:r>
        <w:rPr>
          <w:rFonts w:ascii="Verdana" w:hAnsi="Verdana"/>
        </w:rPr>
        <w:t>une capacité à réemprunter.</w:t>
      </w:r>
      <w:r w:rsidR="008A1409">
        <w:rPr>
          <w:rFonts w:ascii="Verdana" w:hAnsi="Verdana"/>
        </w:rPr>
        <w:t xml:space="preserve"> </w:t>
      </w:r>
    </w:p>
    <w:p w14:paraId="611BEE78" w14:textId="77777777" w:rsidR="00F7558B" w:rsidRDefault="00F7558B" w:rsidP="00314473">
      <w:pPr>
        <w:pStyle w:val="NoSpacing"/>
        <w:ind w:left="851" w:right="-567"/>
        <w:jc w:val="both"/>
        <w:rPr>
          <w:rFonts w:ascii="Verdana" w:hAnsi="Verdana"/>
        </w:rPr>
      </w:pPr>
    </w:p>
    <w:p w14:paraId="07986703" w14:textId="77777777" w:rsidR="00314473" w:rsidRDefault="00314473" w:rsidP="00314473">
      <w:pPr>
        <w:pStyle w:val="NoSpacing"/>
        <w:ind w:left="851" w:right="-567"/>
        <w:jc w:val="both"/>
        <w:rPr>
          <w:rFonts w:ascii="Verdana" w:hAnsi="Verdana"/>
        </w:rPr>
      </w:pPr>
    </w:p>
    <w:p w14:paraId="7CB48367" w14:textId="37E2D8AD" w:rsidR="00F7558B" w:rsidRDefault="00F7558B" w:rsidP="006C54B8">
      <w:pPr>
        <w:pStyle w:val="NoSpacing"/>
        <w:ind w:left="143" w:right="-567" w:firstLine="708"/>
        <w:jc w:val="both"/>
        <w:rPr>
          <w:rFonts w:ascii="Verdana" w:hAnsi="Verdana"/>
        </w:rPr>
      </w:pPr>
      <w:r>
        <w:rPr>
          <w:rFonts w:ascii="Verdana" w:hAnsi="Verdana"/>
        </w:rPr>
        <w:t>L’</w:t>
      </w:r>
      <w:r w:rsidR="00B82953">
        <w:rPr>
          <w:rFonts w:ascii="Verdana" w:hAnsi="Verdana"/>
        </w:rPr>
        <w:t>évolution de l’</w:t>
      </w:r>
      <w:r>
        <w:rPr>
          <w:rFonts w:ascii="Verdana" w:hAnsi="Verdana"/>
        </w:rPr>
        <w:t>encours de la dette est le suivant </w:t>
      </w:r>
      <w:r w:rsidR="00B82953">
        <w:rPr>
          <w:rFonts w:ascii="Verdana" w:hAnsi="Verdana"/>
        </w:rPr>
        <w:t>(sans nouvel emprunt)</w:t>
      </w:r>
      <w:r w:rsidR="0083292E">
        <w:rPr>
          <w:rFonts w:ascii="Verdana" w:hAnsi="Verdana"/>
        </w:rPr>
        <w:t>.</w:t>
      </w:r>
    </w:p>
    <w:p w14:paraId="3421F1CB" w14:textId="77777777" w:rsidR="009D1BC5" w:rsidRDefault="009D1BC5" w:rsidP="00314473">
      <w:pPr>
        <w:pStyle w:val="NoSpacing"/>
        <w:ind w:left="851" w:right="-567"/>
        <w:jc w:val="both"/>
        <w:rPr>
          <w:rFonts w:ascii="Verdana" w:hAnsi="Verdana"/>
        </w:rPr>
      </w:pPr>
    </w:p>
    <w:p w14:paraId="1545B777" w14:textId="77777777" w:rsidR="00F7558B" w:rsidRDefault="00F7558B" w:rsidP="009D1BC5">
      <w:pPr>
        <w:pStyle w:val="NoSpacing"/>
        <w:numPr>
          <w:ilvl w:val="0"/>
          <w:numId w:val="3"/>
        </w:numPr>
        <w:ind w:left="1276" w:right="-567"/>
        <w:jc w:val="both"/>
        <w:rPr>
          <w:rFonts w:ascii="Verdana" w:hAnsi="Verdana"/>
        </w:rPr>
      </w:pPr>
      <w:r>
        <w:rPr>
          <w:rFonts w:ascii="Verdana" w:hAnsi="Verdana"/>
        </w:rPr>
        <w:t>2014 = 3 657 275 €</w:t>
      </w:r>
    </w:p>
    <w:p w14:paraId="2E9C04FB" w14:textId="77777777" w:rsidR="00F7558B" w:rsidRDefault="00F7558B" w:rsidP="009D1BC5">
      <w:pPr>
        <w:pStyle w:val="NoSpacing"/>
        <w:numPr>
          <w:ilvl w:val="0"/>
          <w:numId w:val="3"/>
        </w:numPr>
        <w:ind w:left="1276" w:right="-567"/>
        <w:jc w:val="both"/>
        <w:rPr>
          <w:rFonts w:ascii="Verdana" w:hAnsi="Verdana"/>
        </w:rPr>
      </w:pPr>
      <w:r>
        <w:rPr>
          <w:rFonts w:ascii="Verdana" w:hAnsi="Verdana"/>
        </w:rPr>
        <w:t>2015 = 3 112 808 €</w:t>
      </w:r>
    </w:p>
    <w:p w14:paraId="3277E63A" w14:textId="77777777" w:rsidR="00F7558B" w:rsidRDefault="00F7558B" w:rsidP="009D1BC5">
      <w:pPr>
        <w:pStyle w:val="NoSpacing"/>
        <w:numPr>
          <w:ilvl w:val="0"/>
          <w:numId w:val="3"/>
        </w:numPr>
        <w:ind w:left="1276" w:right="-567"/>
        <w:jc w:val="both"/>
        <w:rPr>
          <w:rFonts w:ascii="Verdana" w:hAnsi="Verdana"/>
        </w:rPr>
      </w:pPr>
      <w:r>
        <w:rPr>
          <w:rFonts w:ascii="Verdana" w:hAnsi="Verdana"/>
        </w:rPr>
        <w:t>2016 = 2 616 848 €</w:t>
      </w:r>
    </w:p>
    <w:p w14:paraId="3CC81F21" w14:textId="77777777" w:rsidR="00F7558B" w:rsidRDefault="008A1409" w:rsidP="009D1BC5">
      <w:pPr>
        <w:pStyle w:val="NoSpacing"/>
        <w:numPr>
          <w:ilvl w:val="0"/>
          <w:numId w:val="3"/>
        </w:numPr>
        <w:ind w:left="1276" w:right="-567"/>
        <w:jc w:val="both"/>
        <w:rPr>
          <w:rFonts w:ascii="Verdana" w:hAnsi="Verdana"/>
        </w:rPr>
      </w:pPr>
      <w:r>
        <w:rPr>
          <w:rFonts w:ascii="Verdana" w:hAnsi="Verdana"/>
        </w:rPr>
        <w:t xml:space="preserve">2017 = 2 185 106 € </w:t>
      </w:r>
    </w:p>
    <w:p w14:paraId="645F0995" w14:textId="77777777" w:rsidR="008A1409" w:rsidRDefault="00B82953" w:rsidP="009D1BC5">
      <w:pPr>
        <w:pStyle w:val="NoSpacing"/>
        <w:numPr>
          <w:ilvl w:val="0"/>
          <w:numId w:val="3"/>
        </w:numPr>
        <w:ind w:left="1276" w:right="-567"/>
        <w:jc w:val="both"/>
        <w:rPr>
          <w:rFonts w:ascii="Verdana" w:hAnsi="Verdana"/>
        </w:rPr>
      </w:pPr>
      <w:r>
        <w:rPr>
          <w:rFonts w:ascii="Verdana" w:hAnsi="Verdana"/>
        </w:rPr>
        <w:t xml:space="preserve">2018 = 2 300 127 € </w:t>
      </w:r>
    </w:p>
    <w:p w14:paraId="2CFF75BE" w14:textId="77777777" w:rsidR="00B82953" w:rsidRDefault="00B82953" w:rsidP="009D1BC5">
      <w:pPr>
        <w:pStyle w:val="NoSpacing"/>
        <w:numPr>
          <w:ilvl w:val="0"/>
          <w:numId w:val="3"/>
        </w:numPr>
        <w:ind w:left="1276" w:right="-567"/>
        <w:jc w:val="both"/>
        <w:rPr>
          <w:rFonts w:ascii="Verdana" w:hAnsi="Verdana"/>
        </w:rPr>
      </w:pPr>
      <w:r>
        <w:rPr>
          <w:rFonts w:ascii="Verdana" w:hAnsi="Verdana"/>
        </w:rPr>
        <w:t>2019 = 2 329 266 €</w:t>
      </w:r>
    </w:p>
    <w:p w14:paraId="5F54C0FB" w14:textId="77777777" w:rsidR="00B82953" w:rsidRDefault="00B82953" w:rsidP="009D1BC5">
      <w:pPr>
        <w:pStyle w:val="NoSpacing"/>
        <w:numPr>
          <w:ilvl w:val="0"/>
          <w:numId w:val="3"/>
        </w:numPr>
        <w:ind w:left="1276" w:right="-567"/>
        <w:jc w:val="both"/>
        <w:rPr>
          <w:rFonts w:ascii="Verdana" w:hAnsi="Verdana"/>
        </w:rPr>
      </w:pPr>
      <w:r>
        <w:rPr>
          <w:rFonts w:ascii="Verdana" w:hAnsi="Verdana"/>
        </w:rPr>
        <w:t>2020 = 1 876 237 €</w:t>
      </w:r>
    </w:p>
    <w:p w14:paraId="517C378C" w14:textId="77777777" w:rsidR="00B82953" w:rsidRDefault="00B82953" w:rsidP="009D1BC5">
      <w:pPr>
        <w:pStyle w:val="NoSpacing"/>
        <w:numPr>
          <w:ilvl w:val="0"/>
          <w:numId w:val="3"/>
        </w:numPr>
        <w:ind w:left="1276" w:right="-567"/>
        <w:jc w:val="both"/>
        <w:rPr>
          <w:rFonts w:ascii="Verdana" w:hAnsi="Verdana"/>
        </w:rPr>
      </w:pPr>
      <w:r>
        <w:rPr>
          <w:rFonts w:ascii="Verdana" w:hAnsi="Verdana"/>
        </w:rPr>
        <w:t>2021 = 1 586 725 €</w:t>
      </w:r>
    </w:p>
    <w:p w14:paraId="256BD1F3" w14:textId="77777777" w:rsidR="00B82953" w:rsidRDefault="00B82953" w:rsidP="009D1BC5">
      <w:pPr>
        <w:pStyle w:val="NoSpacing"/>
        <w:numPr>
          <w:ilvl w:val="0"/>
          <w:numId w:val="3"/>
        </w:numPr>
        <w:ind w:left="1276" w:right="-567"/>
        <w:jc w:val="both"/>
        <w:rPr>
          <w:rFonts w:ascii="Verdana" w:hAnsi="Verdana"/>
        </w:rPr>
      </w:pPr>
      <w:r>
        <w:rPr>
          <w:rFonts w:ascii="Verdana" w:hAnsi="Verdana"/>
        </w:rPr>
        <w:t>2022 = 1 387 643 €</w:t>
      </w:r>
    </w:p>
    <w:p w14:paraId="346213D2" w14:textId="77777777" w:rsidR="00B82953" w:rsidRDefault="00B82953" w:rsidP="009D1BC5">
      <w:pPr>
        <w:pStyle w:val="NoSpacing"/>
        <w:numPr>
          <w:ilvl w:val="0"/>
          <w:numId w:val="3"/>
        </w:numPr>
        <w:ind w:left="1276" w:right="-567"/>
        <w:jc w:val="both"/>
        <w:rPr>
          <w:rFonts w:ascii="Verdana" w:hAnsi="Verdana"/>
        </w:rPr>
      </w:pPr>
      <w:r>
        <w:rPr>
          <w:rFonts w:ascii="Verdana" w:hAnsi="Verdana"/>
        </w:rPr>
        <w:t>2023 = 1 184 785 €</w:t>
      </w:r>
    </w:p>
    <w:p w14:paraId="319F3023" w14:textId="77777777" w:rsidR="00F7558B" w:rsidRDefault="00F7558B" w:rsidP="00314473">
      <w:pPr>
        <w:pStyle w:val="NoSpacing"/>
        <w:ind w:left="851" w:right="-567"/>
        <w:jc w:val="both"/>
        <w:rPr>
          <w:rFonts w:ascii="Verdana" w:hAnsi="Verdana"/>
        </w:rPr>
      </w:pPr>
    </w:p>
    <w:p w14:paraId="4306882E" w14:textId="49161C3D" w:rsidR="00F7558B" w:rsidRDefault="00F7558B" w:rsidP="00314473">
      <w:pPr>
        <w:pStyle w:val="NoSpacing"/>
        <w:ind w:left="851" w:right="-567"/>
        <w:jc w:val="both"/>
        <w:rPr>
          <w:rFonts w:ascii="Verdana" w:hAnsi="Verdana"/>
        </w:rPr>
      </w:pPr>
      <w:r>
        <w:rPr>
          <w:rFonts w:ascii="Verdana" w:hAnsi="Verdana"/>
        </w:rPr>
        <w:t>L’encours de la dette diminue et la capacité de désendettement av</w:t>
      </w:r>
      <w:r w:rsidR="008A1409">
        <w:rPr>
          <w:rFonts w:ascii="Verdana" w:hAnsi="Verdana"/>
        </w:rPr>
        <w:t xml:space="preserve">ec elle, puisqu’elle passe </w:t>
      </w:r>
      <w:r w:rsidR="00B82953">
        <w:rPr>
          <w:rFonts w:ascii="Verdana" w:hAnsi="Verdana"/>
          <w:b/>
        </w:rPr>
        <w:t xml:space="preserve">de 4,31 ans en 2014 à </w:t>
      </w:r>
      <w:r w:rsidR="0083292E">
        <w:rPr>
          <w:rFonts w:ascii="Verdana" w:hAnsi="Verdana"/>
          <w:b/>
        </w:rPr>
        <w:t>1,41</w:t>
      </w:r>
      <w:r w:rsidR="00B82953">
        <w:rPr>
          <w:rFonts w:ascii="Verdana" w:hAnsi="Verdana"/>
          <w:b/>
        </w:rPr>
        <w:t xml:space="preserve"> ans en 20</w:t>
      </w:r>
      <w:r w:rsidR="0083292E">
        <w:rPr>
          <w:rFonts w:ascii="Verdana" w:hAnsi="Verdana"/>
          <w:b/>
        </w:rPr>
        <w:t>20</w:t>
      </w:r>
      <w:r w:rsidR="00775D64">
        <w:rPr>
          <w:rFonts w:ascii="Verdana" w:hAnsi="Verdana"/>
        </w:rPr>
        <w:t xml:space="preserve">. </w:t>
      </w:r>
      <w:r w:rsidR="0083292E">
        <w:rPr>
          <w:rFonts w:ascii="Verdana" w:hAnsi="Verdana"/>
        </w:rPr>
        <w:t xml:space="preserve">Ce qui signifie que si la commune utilisait l’ensemble de ses produits à rembourser la dette elle mettrait 1 an et demi pour tout rembourser. </w:t>
      </w:r>
      <w:r w:rsidR="008A1409">
        <w:rPr>
          <w:rFonts w:ascii="Verdana" w:hAnsi="Verdana"/>
        </w:rPr>
        <w:t>Tout ceci également grâce à un travail de renégociation des emprunts en cours.</w:t>
      </w:r>
      <w:r w:rsidR="000912F3">
        <w:rPr>
          <w:rFonts w:ascii="Verdana" w:hAnsi="Verdana"/>
        </w:rPr>
        <w:t xml:space="preserve"> </w:t>
      </w:r>
    </w:p>
    <w:p w14:paraId="70462CD8" w14:textId="1D996F56" w:rsidR="000912F3" w:rsidRDefault="000912F3" w:rsidP="00314473">
      <w:pPr>
        <w:pStyle w:val="NoSpacing"/>
        <w:ind w:left="851" w:right="-567"/>
        <w:jc w:val="both"/>
        <w:rPr>
          <w:rFonts w:ascii="Verdana" w:hAnsi="Verdana"/>
        </w:rPr>
      </w:pPr>
      <w:r>
        <w:rPr>
          <w:rFonts w:ascii="Verdana" w:hAnsi="Verdana"/>
        </w:rPr>
        <w:t>La totalité de l’encours de la dette de la commune est à taux fixe.</w:t>
      </w:r>
    </w:p>
    <w:p w14:paraId="6CA321E7" w14:textId="77777777" w:rsidR="00467A99" w:rsidRDefault="00467A99" w:rsidP="00314473">
      <w:pPr>
        <w:pStyle w:val="NoSpacing"/>
        <w:ind w:left="851" w:right="-567"/>
        <w:jc w:val="both"/>
        <w:rPr>
          <w:rFonts w:ascii="Verdana" w:hAnsi="Verdana"/>
        </w:rPr>
      </w:pPr>
    </w:p>
    <w:p w14:paraId="495888EA" w14:textId="77777777" w:rsidR="005D244D" w:rsidRDefault="005D244D" w:rsidP="005D244D">
      <w:pPr>
        <w:pStyle w:val="ListParagraph"/>
        <w:ind w:left="1429" w:right="-567"/>
        <w:jc w:val="both"/>
        <w:rPr>
          <w:rFonts w:ascii="Verdana" w:hAnsi="Verdana"/>
          <w:b/>
          <w:u w:val="single"/>
        </w:rPr>
      </w:pPr>
    </w:p>
    <w:p w14:paraId="6489455C" w14:textId="08AE7440" w:rsidR="00C01E8F" w:rsidRPr="009242BB" w:rsidRDefault="00C01E8F" w:rsidP="009242BB">
      <w:pPr>
        <w:pStyle w:val="ListParagraph"/>
        <w:numPr>
          <w:ilvl w:val="0"/>
          <w:numId w:val="2"/>
        </w:numPr>
        <w:ind w:right="-567"/>
        <w:jc w:val="both"/>
        <w:rPr>
          <w:rFonts w:ascii="Verdana" w:hAnsi="Verdana"/>
          <w:b/>
          <w:u w:val="single"/>
        </w:rPr>
      </w:pPr>
      <w:r w:rsidRPr="009242BB">
        <w:rPr>
          <w:rFonts w:ascii="Verdana" w:hAnsi="Verdana"/>
          <w:b/>
          <w:u w:val="single"/>
        </w:rPr>
        <w:t>C</w:t>
      </w:r>
      <w:r w:rsidR="00FF00E3" w:rsidRPr="009242BB">
        <w:rPr>
          <w:rFonts w:ascii="Verdana" w:hAnsi="Verdana"/>
          <w:b/>
          <w:u w:val="single"/>
        </w:rPr>
        <w:t>ONCLUSIONS SUR L</w:t>
      </w:r>
      <w:r w:rsidR="00B82953" w:rsidRPr="009242BB">
        <w:rPr>
          <w:rFonts w:ascii="Verdana" w:hAnsi="Verdana"/>
          <w:b/>
          <w:u w:val="single"/>
        </w:rPr>
        <w:t>ES ORIENTATIONS BUDGETAIRES 20</w:t>
      </w:r>
      <w:r w:rsidR="0083292E">
        <w:rPr>
          <w:rFonts w:ascii="Verdana" w:hAnsi="Verdana"/>
          <w:b/>
          <w:u w:val="single"/>
        </w:rPr>
        <w:t>20</w:t>
      </w:r>
      <w:r w:rsidR="00EA126A" w:rsidRPr="009242BB">
        <w:rPr>
          <w:rFonts w:ascii="Verdana" w:hAnsi="Verdana"/>
          <w:b/>
          <w:u w:val="single"/>
        </w:rPr>
        <w:t xml:space="preserve"> POUR LE BUDGET COMMUNAL</w:t>
      </w:r>
    </w:p>
    <w:p w14:paraId="0136B7C9" w14:textId="77777777" w:rsidR="00FF00E3" w:rsidRDefault="00FF00E3" w:rsidP="00314473">
      <w:pPr>
        <w:pStyle w:val="ListParagraph"/>
        <w:ind w:left="851" w:right="-567"/>
        <w:jc w:val="both"/>
        <w:rPr>
          <w:rFonts w:ascii="Verdana" w:hAnsi="Verdana"/>
        </w:rPr>
      </w:pPr>
    </w:p>
    <w:p w14:paraId="2B3559EF" w14:textId="77777777" w:rsidR="000732C1" w:rsidRPr="00FF00E3" w:rsidRDefault="000732C1" w:rsidP="00314473">
      <w:pPr>
        <w:pStyle w:val="ListParagraph"/>
        <w:ind w:left="851" w:right="-567"/>
        <w:jc w:val="both"/>
        <w:rPr>
          <w:rFonts w:ascii="Verdana" w:hAnsi="Verdana"/>
          <w:b/>
        </w:rPr>
      </w:pPr>
      <w:r w:rsidRPr="00FF00E3">
        <w:rPr>
          <w:rFonts w:ascii="Verdana" w:hAnsi="Verdana"/>
          <w:b/>
        </w:rPr>
        <w:t>Les orientations proposées pour ce DOB sont les suivantes :</w:t>
      </w:r>
    </w:p>
    <w:p w14:paraId="38C7FD58" w14:textId="77777777" w:rsidR="00432C13" w:rsidRDefault="00432C13" w:rsidP="00314473">
      <w:pPr>
        <w:pStyle w:val="ListParagraph"/>
        <w:ind w:left="851" w:right="-567"/>
        <w:jc w:val="both"/>
        <w:rPr>
          <w:rFonts w:ascii="Verdana" w:hAnsi="Verdana"/>
        </w:rPr>
      </w:pPr>
    </w:p>
    <w:p w14:paraId="6B4EDDF0" w14:textId="63F4E863" w:rsidR="00B82953" w:rsidRDefault="00F7558B" w:rsidP="009D1BC5">
      <w:pPr>
        <w:pStyle w:val="ListParagraph"/>
        <w:numPr>
          <w:ilvl w:val="0"/>
          <w:numId w:val="3"/>
        </w:numPr>
        <w:ind w:left="1134" w:right="-567"/>
        <w:jc w:val="both"/>
        <w:rPr>
          <w:rFonts w:ascii="Verdana" w:hAnsi="Verdana"/>
        </w:rPr>
      </w:pPr>
      <w:r w:rsidRPr="00B82953">
        <w:rPr>
          <w:rFonts w:ascii="Verdana" w:hAnsi="Verdana"/>
        </w:rPr>
        <w:t xml:space="preserve">Poursuivre la maîtrise des </w:t>
      </w:r>
      <w:r w:rsidR="000732C1" w:rsidRPr="00B82953">
        <w:rPr>
          <w:rFonts w:ascii="Verdana" w:hAnsi="Verdana"/>
        </w:rPr>
        <w:t>charges de fonctionnement</w:t>
      </w:r>
      <w:r w:rsidR="0076148D" w:rsidRPr="00B82953">
        <w:rPr>
          <w:rFonts w:ascii="Verdana" w:hAnsi="Verdana"/>
        </w:rPr>
        <w:t xml:space="preserve"> </w:t>
      </w:r>
      <w:r w:rsidR="00B82953" w:rsidRPr="00B82953">
        <w:rPr>
          <w:rFonts w:ascii="Verdana" w:hAnsi="Verdana"/>
        </w:rPr>
        <w:t>et engager un travail de recherche d’économies supplémentaires</w:t>
      </w:r>
      <w:r w:rsidR="0083292E">
        <w:rPr>
          <w:rFonts w:ascii="Verdana" w:hAnsi="Verdana"/>
        </w:rPr>
        <w:t xml:space="preserve"> à travers le Plan Pluriannuel de Fonctionnement.</w:t>
      </w:r>
    </w:p>
    <w:p w14:paraId="4F26C411" w14:textId="77777777" w:rsidR="00791F5C" w:rsidRDefault="00791F5C" w:rsidP="00791F5C">
      <w:pPr>
        <w:pStyle w:val="ListParagraph"/>
        <w:ind w:left="1134" w:right="-567"/>
        <w:jc w:val="both"/>
        <w:rPr>
          <w:rFonts w:ascii="Verdana" w:hAnsi="Verdana"/>
        </w:rPr>
      </w:pPr>
    </w:p>
    <w:p w14:paraId="4BA534ED" w14:textId="1F1DA3EF" w:rsidR="00B82953" w:rsidRDefault="00B82953" w:rsidP="00B82953">
      <w:pPr>
        <w:pStyle w:val="ListParagraph"/>
        <w:numPr>
          <w:ilvl w:val="0"/>
          <w:numId w:val="3"/>
        </w:numPr>
        <w:ind w:left="1134" w:right="-567"/>
        <w:jc w:val="both"/>
        <w:rPr>
          <w:rFonts w:ascii="Verdana" w:hAnsi="Verdana"/>
        </w:rPr>
      </w:pPr>
      <w:r w:rsidRPr="00B82953">
        <w:rPr>
          <w:rFonts w:ascii="Verdana" w:hAnsi="Verdana"/>
        </w:rPr>
        <w:t xml:space="preserve"> </w:t>
      </w:r>
      <w:r w:rsidR="000732C1" w:rsidRPr="00B82953">
        <w:rPr>
          <w:rFonts w:ascii="Verdana" w:hAnsi="Verdana"/>
        </w:rPr>
        <w:t>Poursuivre la démarche de GEPEEC et GVT permettant la gestion des charges de personnel</w:t>
      </w:r>
      <w:r w:rsidR="00D85753" w:rsidRPr="00B82953">
        <w:rPr>
          <w:rFonts w:ascii="Verdana" w:hAnsi="Verdana"/>
        </w:rPr>
        <w:t xml:space="preserve"> et notamment étudier, à chaque fois que cela est possible, une réorganisation de service plus efficiente lors des départs à la retraite, permettant des niches d’</w:t>
      </w:r>
      <w:r w:rsidR="004B5C05" w:rsidRPr="00B82953">
        <w:rPr>
          <w:rFonts w:ascii="Verdana" w:hAnsi="Verdana"/>
        </w:rPr>
        <w:t>économie sans pour autant porter atteinte à</w:t>
      </w:r>
      <w:r w:rsidR="00D85753" w:rsidRPr="00B82953">
        <w:rPr>
          <w:rFonts w:ascii="Verdana" w:hAnsi="Verdana"/>
        </w:rPr>
        <w:t xml:space="preserve"> la qualité des services.</w:t>
      </w:r>
    </w:p>
    <w:p w14:paraId="0A56F1C8" w14:textId="77777777" w:rsidR="0083292E" w:rsidRDefault="0083292E" w:rsidP="0083292E">
      <w:pPr>
        <w:pStyle w:val="ListParagraph"/>
        <w:ind w:left="1134" w:right="-567"/>
        <w:jc w:val="both"/>
        <w:rPr>
          <w:rFonts w:ascii="Verdana" w:hAnsi="Verdana"/>
        </w:rPr>
      </w:pPr>
    </w:p>
    <w:p w14:paraId="51AA65DC" w14:textId="47365490" w:rsidR="00D800F4" w:rsidRPr="00B82953" w:rsidRDefault="000732C1" w:rsidP="00D800F4">
      <w:pPr>
        <w:pStyle w:val="ListParagraph"/>
        <w:numPr>
          <w:ilvl w:val="0"/>
          <w:numId w:val="3"/>
        </w:numPr>
        <w:ind w:left="1134" w:right="-567"/>
        <w:jc w:val="both"/>
        <w:rPr>
          <w:rFonts w:ascii="Verdana" w:hAnsi="Verdana"/>
        </w:rPr>
      </w:pPr>
      <w:r w:rsidRPr="00B82953">
        <w:rPr>
          <w:rFonts w:ascii="Verdana" w:hAnsi="Verdana"/>
        </w:rPr>
        <w:t>Développer des partenariats avec d’autres communes pour travailler la mutualisation de servi</w:t>
      </w:r>
      <w:r w:rsidR="00B82953">
        <w:rPr>
          <w:rFonts w:ascii="Verdana" w:hAnsi="Verdana"/>
        </w:rPr>
        <w:t xml:space="preserve">ces et les groupements d’achats, comme </w:t>
      </w:r>
      <w:r w:rsidR="0083292E">
        <w:rPr>
          <w:rFonts w:ascii="Verdana" w:hAnsi="Verdana"/>
        </w:rPr>
        <w:t>ceux à venir avec la Métro.</w:t>
      </w:r>
    </w:p>
    <w:p w14:paraId="11128251" w14:textId="77777777" w:rsidR="008A1409" w:rsidRDefault="008A1409" w:rsidP="008A1409">
      <w:pPr>
        <w:pStyle w:val="ListParagraph"/>
        <w:ind w:left="1134" w:right="-567"/>
        <w:jc w:val="both"/>
        <w:rPr>
          <w:rFonts w:ascii="Verdana" w:hAnsi="Verdana"/>
        </w:rPr>
      </w:pPr>
    </w:p>
    <w:p w14:paraId="0E1E054A" w14:textId="7E0AC945" w:rsidR="000732C1" w:rsidRPr="00F7558B" w:rsidRDefault="00BF2BE9" w:rsidP="009D1BC5">
      <w:pPr>
        <w:pStyle w:val="ListParagraph"/>
        <w:numPr>
          <w:ilvl w:val="0"/>
          <w:numId w:val="3"/>
        </w:numPr>
        <w:ind w:left="1134" w:right="-567"/>
        <w:jc w:val="both"/>
        <w:rPr>
          <w:rFonts w:ascii="Verdana" w:hAnsi="Verdana"/>
        </w:rPr>
      </w:pPr>
      <w:r w:rsidRPr="00F7558B">
        <w:rPr>
          <w:rFonts w:ascii="Verdana" w:hAnsi="Verdana"/>
        </w:rPr>
        <w:t xml:space="preserve"> </w:t>
      </w:r>
      <w:r w:rsidR="000732C1" w:rsidRPr="00F7558B">
        <w:rPr>
          <w:rFonts w:ascii="Verdana" w:hAnsi="Verdana"/>
        </w:rPr>
        <w:t>Prioriser des investissements qui génèrent des économies de fonctionnement</w:t>
      </w:r>
      <w:r w:rsidR="0083292E">
        <w:rPr>
          <w:rFonts w:ascii="Verdana" w:hAnsi="Verdana"/>
        </w:rPr>
        <w:t xml:space="preserve"> (exemple éclairage public avant transfert ce qui permettra </w:t>
      </w:r>
      <w:r w:rsidR="0083292E">
        <w:rPr>
          <w:rFonts w:ascii="Verdana" w:hAnsi="Verdana"/>
        </w:rPr>
        <w:lastRenderedPageBreak/>
        <w:t>de minimiser les charges transférées, la rénovation énergétique des bâtiments communaux pour maîtriser les charges d’énergie etc…)</w:t>
      </w:r>
      <w:r w:rsidR="00791F5C">
        <w:rPr>
          <w:rFonts w:ascii="Verdana" w:hAnsi="Verdana"/>
        </w:rPr>
        <w:t>.</w:t>
      </w:r>
    </w:p>
    <w:p w14:paraId="30BDB3A3" w14:textId="77777777" w:rsidR="008A1409" w:rsidRDefault="008A1409" w:rsidP="008A1409">
      <w:pPr>
        <w:pStyle w:val="ListParagraph"/>
        <w:ind w:left="1134" w:right="-567"/>
        <w:jc w:val="both"/>
        <w:rPr>
          <w:rFonts w:ascii="Verdana" w:hAnsi="Verdana"/>
        </w:rPr>
      </w:pPr>
    </w:p>
    <w:p w14:paraId="78A14030" w14:textId="7ED854C6" w:rsidR="000732C1" w:rsidRDefault="0083292E" w:rsidP="009D1BC5">
      <w:pPr>
        <w:pStyle w:val="ListParagraph"/>
        <w:numPr>
          <w:ilvl w:val="0"/>
          <w:numId w:val="3"/>
        </w:numPr>
        <w:ind w:left="1134" w:right="-567"/>
        <w:jc w:val="both"/>
        <w:rPr>
          <w:rFonts w:ascii="Verdana" w:hAnsi="Verdana"/>
        </w:rPr>
      </w:pPr>
      <w:r>
        <w:rPr>
          <w:rFonts w:ascii="Verdana" w:hAnsi="Verdana"/>
        </w:rPr>
        <w:t xml:space="preserve">Poursuivre le travail de </w:t>
      </w:r>
      <w:r w:rsidR="000732C1">
        <w:rPr>
          <w:rFonts w:ascii="Verdana" w:hAnsi="Verdana"/>
        </w:rPr>
        <w:t>recherche de subventions avant de lancer les projets et surtout celui de Bon Repos</w:t>
      </w:r>
      <w:r w:rsidR="00791F5C">
        <w:rPr>
          <w:rFonts w:ascii="Verdana" w:hAnsi="Verdana"/>
        </w:rPr>
        <w:t>.</w:t>
      </w:r>
    </w:p>
    <w:p w14:paraId="5D2878AE" w14:textId="77777777" w:rsidR="008A1409" w:rsidRDefault="008A1409" w:rsidP="008A1409">
      <w:pPr>
        <w:pStyle w:val="ListParagraph"/>
        <w:ind w:left="1134" w:right="-567"/>
        <w:jc w:val="both"/>
        <w:rPr>
          <w:rFonts w:ascii="Verdana" w:hAnsi="Verdana"/>
        </w:rPr>
      </w:pPr>
    </w:p>
    <w:p w14:paraId="74AAA62A" w14:textId="4C3921BF" w:rsidR="00432C13" w:rsidRDefault="00D800F4" w:rsidP="009D1BC5">
      <w:pPr>
        <w:pStyle w:val="ListParagraph"/>
        <w:numPr>
          <w:ilvl w:val="0"/>
          <w:numId w:val="3"/>
        </w:numPr>
        <w:ind w:left="1134" w:right="-567"/>
        <w:jc w:val="both"/>
        <w:rPr>
          <w:rFonts w:ascii="Verdana" w:hAnsi="Verdana"/>
        </w:rPr>
      </w:pPr>
      <w:r>
        <w:rPr>
          <w:rFonts w:ascii="Verdana" w:hAnsi="Verdana"/>
        </w:rPr>
        <w:t>Respecter</w:t>
      </w:r>
      <w:r w:rsidR="00432C13">
        <w:rPr>
          <w:rFonts w:ascii="Verdana" w:hAnsi="Verdana"/>
        </w:rPr>
        <w:t xml:space="preserve"> le Plan Pluriannuel </w:t>
      </w:r>
      <w:r w:rsidR="00432C13" w:rsidRPr="00791F5C">
        <w:rPr>
          <w:rFonts w:ascii="Verdana" w:hAnsi="Verdana"/>
        </w:rPr>
        <w:t>d’Investissement</w:t>
      </w:r>
      <w:r w:rsidR="00791F5C">
        <w:rPr>
          <w:rFonts w:ascii="Verdana" w:hAnsi="Verdana"/>
        </w:rPr>
        <w:t>.</w:t>
      </w:r>
    </w:p>
    <w:p w14:paraId="3073323C" w14:textId="77777777" w:rsidR="000912F3" w:rsidRPr="000912F3" w:rsidRDefault="000912F3" w:rsidP="000912F3">
      <w:pPr>
        <w:pStyle w:val="ListParagraph"/>
        <w:rPr>
          <w:rFonts w:ascii="Verdana" w:hAnsi="Verdana"/>
        </w:rPr>
      </w:pPr>
    </w:p>
    <w:p w14:paraId="57609CFB" w14:textId="090BDDFB" w:rsidR="000912F3" w:rsidRDefault="000912F3" w:rsidP="00D4031A">
      <w:pPr>
        <w:pStyle w:val="ListParagraph"/>
        <w:ind w:left="1134" w:right="-567"/>
        <w:rPr>
          <w:rFonts w:ascii="Verdana" w:hAnsi="Verdana"/>
          <w:b/>
          <w:bCs/>
        </w:rPr>
      </w:pPr>
      <w:r>
        <w:rPr>
          <w:rFonts w:ascii="Verdana" w:hAnsi="Verdana"/>
          <w:b/>
          <w:bCs/>
        </w:rPr>
        <w:t xml:space="preserve">L’évolution prévue </w:t>
      </w:r>
      <w:r w:rsidR="00D4031A">
        <w:rPr>
          <w:rFonts w:ascii="Verdana" w:hAnsi="Verdana"/>
          <w:b/>
          <w:bCs/>
        </w:rPr>
        <w:t>du budget 2020 au budget 2021 concernant le fonctionnement est la suivante :</w:t>
      </w:r>
    </w:p>
    <w:p w14:paraId="0DD8DBB8" w14:textId="77777777" w:rsidR="00D4031A" w:rsidRDefault="00D4031A" w:rsidP="00D4031A">
      <w:pPr>
        <w:pStyle w:val="ListParagraph"/>
        <w:ind w:left="1134" w:right="-567"/>
        <w:rPr>
          <w:rFonts w:ascii="Verdana" w:hAnsi="Verdana"/>
          <w:b/>
          <w:bCs/>
        </w:rPr>
      </w:pPr>
      <w:r>
        <w:rPr>
          <w:rFonts w:ascii="Verdana" w:hAnsi="Verdana"/>
          <w:b/>
          <w:bCs/>
        </w:rPr>
        <w:t xml:space="preserve"> </w:t>
      </w:r>
    </w:p>
    <w:p w14:paraId="19AC4AEC" w14:textId="6B82B14F" w:rsidR="00D4031A" w:rsidRDefault="00D4031A" w:rsidP="00D4031A">
      <w:pPr>
        <w:pStyle w:val="ListParagraph"/>
        <w:ind w:left="1134" w:right="-567"/>
        <w:rPr>
          <w:rFonts w:ascii="Verdana" w:hAnsi="Verdana"/>
          <w:b/>
          <w:bCs/>
        </w:rPr>
      </w:pPr>
      <w:r>
        <w:rPr>
          <w:rFonts w:ascii="Verdana" w:hAnsi="Verdana"/>
          <w:b/>
          <w:bCs/>
        </w:rPr>
        <w:t xml:space="preserve">Dépenses de fonctionnement courant = - 0,65 % </w:t>
      </w:r>
    </w:p>
    <w:p w14:paraId="3A5FD219" w14:textId="72BD0DC4" w:rsidR="00D4031A" w:rsidRDefault="00D4031A" w:rsidP="00D4031A">
      <w:pPr>
        <w:pStyle w:val="ListParagraph"/>
        <w:ind w:left="1134" w:right="-567"/>
        <w:rPr>
          <w:rFonts w:ascii="Verdana" w:hAnsi="Verdana"/>
          <w:b/>
          <w:bCs/>
        </w:rPr>
      </w:pPr>
      <w:r>
        <w:rPr>
          <w:rFonts w:ascii="Verdana" w:hAnsi="Verdana"/>
          <w:b/>
          <w:bCs/>
        </w:rPr>
        <w:t>Avec - 2% sur les charges de fonctionnement générales par le PPF</w:t>
      </w:r>
    </w:p>
    <w:p w14:paraId="52CF086A" w14:textId="77777777" w:rsidR="00D4031A" w:rsidRDefault="00D4031A" w:rsidP="00D4031A">
      <w:pPr>
        <w:pStyle w:val="ListParagraph"/>
        <w:ind w:left="1134" w:right="-567"/>
        <w:rPr>
          <w:rFonts w:ascii="Verdana" w:hAnsi="Verdana"/>
          <w:b/>
          <w:bCs/>
        </w:rPr>
      </w:pPr>
    </w:p>
    <w:p w14:paraId="319F91C5" w14:textId="5371E0EF" w:rsidR="00D4031A" w:rsidRDefault="00D4031A" w:rsidP="00D4031A">
      <w:pPr>
        <w:pStyle w:val="ListParagraph"/>
        <w:ind w:left="1134" w:right="-567"/>
        <w:rPr>
          <w:rFonts w:ascii="Verdana" w:hAnsi="Verdana"/>
          <w:b/>
          <w:bCs/>
        </w:rPr>
      </w:pPr>
      <w:r>
        <w:rPr>
          <w:rFonts w:ascii="Verdana" w:hAnsi="Verdana"/>
          <w:b/>
          <w:bCs/>
        </w:rPr>
        <w:t>Recettes de fonctionnement courant = - 1,86%</w:t>
      </w:r>
    </w:p>
    <w:p w14:paraId="51B59C3B" w14:textId="77777777" w:rsidR="00EA126A" w:rsidRDefault="00EA126A" w:rsidP="00EA126A">
      <w:pPr>
        <w:ind w:right="-567"/>
        <w:jc w:val="both"/>
        <w:rPr>
          <w:rFonts w:ascii="Verdana" w:hAnsi="Verdana"/>
        </w:rPr>
      </w:pPr>
    </w:p>
    <w:p w14:paraId="4CED767A" w14:textId="29ECDF61" w:rsidR="00EA126A" w:rsidRPr="005D244D" w:rsidRDefault="005D244D" w:rsidP="00D4031A">
      <w:pPr>
        <w:ind w:left="426" w:right="-567" w:firstLine="708"/>
        <w:jc w:val="both"/>
        <w:rPr>
          <w:rFonts w:ascii="Verdana" w:hAnsi="Verdana"/>
          <w:b/>
          <w:u w:val="single"/>
        </w:rPr>
      </w:pPr>
      <w:r>
        <w:rPr>
          <w:rFonts w:ascii="Verdana" w:hAnsi="Verdana"/>
          <w:b/>
          <w:u w:val="single"/>
        </w:rPr>
        <w:t xml:space="preserve">VII – </w:t>
      </w:r>
      <w:r w:rsidR="00EA126A" w:rsidRPr="005D244D">
        <w:rPr>
          <w:rFonts w:ascii="Verdana" w:hAnsi="Verdana"/>
          <w:b/>
          <w:u w:val="single"/>
        </w:rPr>
        <w:t>LE BUDGET ANNEXE DU RESTAURANT DU CLOS JOUVIN</w:t>
      </w:r>
    </w:p>
    <w:p w14:paraId="4CE70268" w14:textId="77777777" w:rsidR="00EA126A" w:rsidRDefault="00EA126A" w:rsidP="00EA126A">
      <w:pPr>
        <w:pStyle w:val="ListParagraph"/>
        <w:ind w:left="1429" w:right="-567"/>
        <w:jc w:val="both"/>
        <w:rPr>
          <w:rFonts w:ascii="Verdana" w:hAnsi="Verdana"/>
        </w:rPr>
      </w:pPr>
    </w:p>
    <w:p w14:paraId="555432B0" w14:textId="77777777" w:rsidR="00EA126A" w:rsidRDefault="00EA126A" w:rsidP="00EA126A">
      <w:pPr>
        <w:pStyle w:val="ListParagraph"/>
        <w:ind w:left="1429" w:right="-567"/>
        <w:jc w:val="both"/>
        <w:rPr>
          <w:rFonts w:ascii="Verdana" w:hAnsi="Verdana"/>
        </w:rPr>
      </w:pPr>
    </w:p>
    <w:p w14:paraId="1A295ACA" w14:textId="41F35C66" w:rsidR="00EA126A" w:rsidRPr="00EA126A" w:rsidRDefault="00DD21D8" w:rsidP="00EA126A">
      <w:pPr>
        <w:pStyle w:val="ListParagraph"/>
        <w:numPr>
          <w:ilvl w:val="0"/>
          <w:numId w:val="9"/>
        </w:numPr>
        <w:ind w:right="-567"/>
        <w:jc w:val="both"/>
        <w:rPr>
          <w:rFonts w:ascii="Verdana" w:hAnsi="Verdana"/>
          <w:b/>
          <w:u w:val="single"/>
        </w:rPr>
      </w:pPr>
      <w:r>
        <w:rPr>
          <w:rFonts w:ascii="Verdana" w:hAnsi="Verdana"/>
          <w:b/>
          <w:u w:val="single"/>
        </w:rPr>
        <w:t>Les résultats 201</w:t>
      </w:r>
      <w:r w:rsidR="0083292E">
        <w:rPr>
          <w:rFonts w:ascii="Verdana" w:hAnsi="Verdana"/>
          <w:b/>
          <w:u w:val="single"/>
        </w:rPr>
        <w:t>9</w:t>
      </w:r>
      <w:r w:rsidR="00EA126A" w:rsidRPr="00EA126A">
        <w:rPr>
          <w:rFonts w:ascii="Verdana" w:hAnsi="Verdana"/>
          <w:b/>
          <w:u w:val="single"/>
        </w:rPr>
        <w:t> :</w:t>
      </w:r>
    </w:p>
    <w:p w14:paraId="3F8CAA7C" w14:textId="77777777" w:rsidR="00EA126A" w:rsidRPr="00EA126A" w:rsidRDefault="00EA126A" w:rsidP="00BE643A">
      <w:pPr>
        <w:ind w:left="568" w:right="-567" w:firstLine="708"/>
        <w:jc w:val="both"/>
        <w:rPr>
          <w:rFonts w:ascii="Verdana" w:hAnsi="Verdana"/>
          <w:b/>
        </w:rPr>
      </w:pPr>
      <w:r w:rsidRPr="00EA126A">
        <w:rPr>
          <w:rFonts w:ascii="Verdana" w:hAnsi="Verdana"/>
          <w:b/>
        </w:rPr>
        <w:t>En fonctionnement :</w:t>
      </w:r>
    </w:p>
    <w:p w14:paraId="12752C3E" w14:textId="25C2A276" w:rsidR="00BE643A" w:rsidRDefault="00BE643A" w:rsidP="00BE643A">
      <w:pPr>
        <w:ind w:left="1276"/>
        <w:rPr>
          <w:rFonts w:ascii="Verdana" w:hAnsi="Verdana"/>
        </w:rPr>
      </w:pPr>
      <w:r w:rsidRPr="00D800F4">
        <w:rPr>
          <w:rFonts w:ascii="Verdana" w:hAnsi="Verdana"/>
          <w:b/>
        </w:rPr>
        <w:t>Dépenses réelles</w:t>
      </w:r>
      <w:r w:rsidRPr="0038480A">
        <w:rPr>
          <w:rFonts w:ascii="Verdana" w:hAnsi="Verdana"/>
        </w:rPr>
        <w:t xml:space="preserve"> </w:t>
      </w:r>
      <w:r w:rsidRPr="00DD21D8">
        <w:rPr>
          <w:rFonts w:ascii="Verdana" w:hAnsi="Verdana"/>
          <w:b/>
        </w:rPr>
        <w:t xml:space="preserve">réalisées </w:t>
      </w:r>
      <w:r w:rsidR="00DD21D8" w:rsidRPr="00DD21D8">
        <w:rPr>
          <w:rFonts w:ascii="Verdana" w:hAnsi="Verdana"/>
          <w:b/>
        </w:rPr>
        <w:t>201</w:t>
      </w:r>
      <w:r w:rsidR="00DA2DA3">
        <w:rPr>
          <w:rFonts w:ascii="Verdana" w:hAnsi="Verdana"/>
          <w:b/>
        </w:rPr>
        <w:t>9</w:t>
      </w:r>
      <w:r w:rsidR="00DD21D8" w:rsidRPr="00DD21D8">
        <w:rPr>
          <w:rFonts w:ascii="Verdana" w:hAnsi="Verdana"/>
          <w:b/>
        </w:rPr>
        <w:t xml:space="preserve"> = </w:t>
      </w:r>
      <w:r w:rsidR="00DA2DA3">
        <w:rPr>
          <w:rFonts w:ascii="Verdana" w:hAnsi="Verdana"/>
          <w:b/>
        </w:rPr>
        <w:t>222 621</w:t>
      </w:r>
      <w:r w:rsidR="00DD21D8" w:rsidRPr="00DD21D8">
        <w:rPr>
          <w:rFonts w:ascii="Verdana" w:hAnsi="Verdana"/>
          <w:b/>
        </w:rPr>
        <w:t xml:space="preserve"> €</w:t>
      </w:r>
      <w:r w:rsidR="00DD21D8">
        <w:rPr>
          <w:rFonts w:ascii="Verdana" w:hAnsi="Verdana"/>
        </w:rPr>
        <w:t xml:space="preserve"> </w:t>
      </w:r>
      <w:r w:rsidR="00DD21D8" w:rsidRPr="00DA2DA3">
        <w:rPr>
          <w:rFonts w:ascii="Verdana" w:hAnsi="Verdana"/>
        </w:rPr>
        <w:t>(</w:t>
      </w:r>
      <w:r w:rsidRPr="00DA2DA3">
        <w:rPr>
          <w:rFonts w:ascii="Verdana" w:hAnsi="Verdana"/>
        </w:rPr>
        <w:t>201</w:t>
      </w:r>
      <w:r w:rsidR="00DA2DA3" w:rsidRPr="00DA2DA3">
        <w:rPr>
          <w:rFonts w:ascii="Verdana" w:hAnsi="Verdana"/>
        </w:rPr>
        <w:t>8</w:t>
      </w:r>
      <w:r w:rsidRPr="00DA2DA3">
        <w:rPr>
          <w:rFonts w:ascii="Verdana" w:hAnsi="Verdana"/>
        </w:rPr>
        <w:t xml:space="preserve"> =</w:t>
      </w:r>
      <w:r w:rsidR="00DA2DA3" w:rsidRPr="00DA2DA3">
        <w:rPr>
          <w:rFonts w:ascii="Verdana" w:hAnsi="Verdana"/>
        </w:rPr>
        <w:t>198 617</w:t>
      </w:r>
      <w:r w:rsidRPr="00DA2DA3">
        <w:rPr>
          <w:rFonts w:ascii="Verdana" w:hAnsi="Verdana"/>
        </w:rPr>
        <w:t xml:space="preserve"> €</w:t>
      </w:r>
      <w:r w:rsidR="00DD21D8" w:rsidRPr="00DA2DA3">
        <w:rPr>
          <w:rFonts w:ascii="Verdana" w:hAnsi="Verdana"/>
        </w:rPr>
        <w:t>)</w:t>
      </w:r>
      <w:r w:rsidRPr="0038480A">
        <w:rPr>
          <w:rFonts w:ascii="Verdana" w:hAnsi="Verdana"/>
        </w:rPr>
        <w:t xml:space="preserve"> </w:t>
      </w:r>
    </w:p>
    <w:p w14:paraId="342F0E28" w14:textId="49222532" w:rsidR="00BE643A" w:rsidRDefault="00BE643A" w:rsidP="00BE643A">
      <w:pPr>
        <w:pStyle w:val="ListParagraph"/>
        <w:numPr>
          <w:ilvl w:val="0"/>
          <w:numId w:val="3"/>
        </w:numPr>
        <w:rPr>
          <w:rFonts w:ascii="Verdana" w:hAnsi="Verdana"/>
        </w:rPr>
      </w:pPr>
      <w:r>
        <w:rPr>
          <w:rFonts w:ascii="Verdana" w:hAnsi="Verdana"/>
        </w:rPr>
        <w:t xml:space="preserve">Achat de repas </w:t>
      </w:r>
      <w:r>
        <w:rPr>
          <w:rFonts w:ascii="Verdana" w:hAnsi="Verdana"/>
        </w:rPr>
        <w:tab/>
      </w:r>
      <w:r>
        <w:rPr>
          <w:rFonts w:ascii="Verdana" w:hAnsi="Verdana"/>
        </w:rPr>
        <w:tab/>
        <w:t xml:space="preserve">= </w:t>
      </w:r>
      <w:r w:rsidR="00DD21D8">
        <w:rPr>
          <w:rFonts w:ascii="Verdana" w:hAnsi="Verdana"/>
        </w:rPr>
        <w:t>1</w:t>
      </w:r>
      <w:r w:rsidR="00DA2DA3">
        <w:rPr>
          <w:rFonts w:ascii="Verdana" w:hAnsi="Verdana"/>
        </w:rPr>
        <w:t>97 744</w:t>
      </w:r>
      <w:r w:rsidR="00DD21D8">
        <w:rPr>
          <w:rFonts w:ascii="Verdana" w:hAnsi="Verdana"/>
        </w:rPr>
        <w:t xml:space="preserve"> € </w:t>
      </w:r>
      <w:r w:rsidR="00DD21D8">
        <w:rPr>
          <w:rFonts w:ascii="Verdana" w:hAnsi="Verdana"/>
        </w:rPr>
        <w:tab/>
        <w:t>(201</w:t>
      </w:r>
      <w:r w:rsidR="00DA2DA3">
        <w:rPr>
          <w:rFonts w:ascii="Verdana" w:hAnsi="Verdana"/>
        </w:rPr>
        <w:t>8</w:t>
      </w:r>
      <w:r w:rsidR="00DD21D8">
        <w:rPr>
          <w:rFonts w:ascii="Verdana" w:hAnsi="Verdana"/>
        </w:rPr>
        <w:t xml:space="preserve"> =</w:t>
      </w:r>
      <w:r w:rsidR="00FF31D6">
        <w:rPr>
          <w:rFonts w:ascii="Verdana" w:hAnsi="Verdana"/>
        </w:rPr>
        <w:t xml:space="preserve"> 177 08</w:t>
      </w:r>
      <w:r w:rsidR="002316CA">
        <w:rPr>
          <w:rFonts w:ascii="Verdana" w:hAnsi="Verdana"/>
        </w:rPr>
        <w:t>3</w:t>
      </w:r>
      <w:r>
        <w:rPr>
          <w:rFonts w:ascii="Verdana" w:hAnsi="Verdana"/>
        </w:rPr>
        <w:t xml:space="preserve"> €</w:t>
      </w:r>
      <w:r w:rsidR="00DD21D8">
        <w:rPr>
          <w:rFonts w:ascii="Verdana" w:hAnsi="Verdana"/>
        </w:rPr>
        <w:t>)</w:t>
      </w:r>
    </w:p>
    <w:p w14:paraId="0C3EE0E3" w14:textId="2037C465" w:rsidR="00BE643A" w:rsidRDefault="00DD21D8" w:rsidP="00BE643A">
      <w:pPr>
        <w:pStyle w:val="ListParagraph"/>
        <w:numPr>
          <w:ilvl w:val="0"/>
          <w:numId w:val="3"/>
        </w:numPr>
        <w:rPr>
          <w:rFonts w:ascii="Verdana" w:hAnsi="Verdana"/>
        </w:rPr>
      </w:pPr>
      <w:r>
        <w:rPr>
          <w:rFonts w:ascii="Verdana" w:hAnsi="Verdana"/>
        </w:rPr>
        <w:t xml:space="preserve">Petit équipement </w:t>
      </w:r>
      <w:r>
        <w:rPr>
          <w:rFonts w:ascii="Verdana" w:hAnsi="Verdana"/>
        </w:rPr>
        <w:tab/>
      </w:r>
      <w:r>
        <w:rPr>
          <w:rFonts w:ascii="Verdana" w:hAnsi="Verdana"/>
        </w:rPr>
        <w:tab/>
        <w:t xml:space="preserve">=     </w:t>
      </w:r>
      <w:r w:rsidR="00DA2DA3">
        <w:rPr>
          <w:rFonts w:ascii="Verdana" w:hAnsi="Verdana"/>
        </w:rPr>
        <w:t>5 005</w:t>
      </w:r>
      <w:r w:rsidR="00BE643A">
        <w:rPr>
          <w:rFonts w:ascii="Verdana" w:hAnsi="Verdana"/>
        </w:rPr>
        <w:t xml:space="preserve"> €</w:t>
      </w:r>
      <w:r>
        <w:rPr>
          <w:rFonts w:ascii="Verdana" w:hAnsi="Verdana"/>
        </w:rPr>
        <w:t xml:space="preserve">  </w:t>
      </w:r>
      <w:r>
        <w:rPr>
          <w:rFonts w:ascii="Verdana" w:hAnsi="Verdana"/>
        </w:rPr>
        <w:tab/>
        <w:t>(201</w:t>
      </w:r>
      <w:r w:rsidR="00DA2DA3">
        <w:rPr>
          <w:rFonts w:ascii="Verdana" w:hAnsi="Verdana"/>
        </w:rPr>
        <w:t>8</w:t>
      </w:r>
      <w:r>
        <w:rPr>
          <w:rFonts w:ascii="Verdana" w:hAnsi="Verdana"/>
        </w:rPr>
        <w:t xml:space="preserve"> = </w:t>
      </w:r>
      <w:r w:rsidR="002316CA">
        <w:rPr>
          <w:rFonts w:ascii="Verdana" w:hAnsi="Verdana"/>
        </w:rPr>
        <w:t xml:space="preserve">   </w:t>
      </w:r>
      <w:r>
        <w:rPr>
          <w:rFonts w:ascii="Verdana" w:hAnsi="Verdana"/>
        </w:rPr>
        <w:t>4</w:t>
      </w:r>
      <w:r w:rsidR="00DA2DA3">
        <w:rPr>
          <w:rFonts w:ascii="Verdana" w:hAnsi="Verdana"/>
        </w:rPr>
        <w:t xml:space="preserve"> 953</w:t>
      </w:r>
      <w:r>
        <w:rPr>
          <w:rFonts w:ascii="Verdana" w:hAnsi="Verdana"/>
        </w:rPr>
        <w:t xml:space="preserve"> €)</w:t>
      </w:r>
    </w:p>
    <w:p w14:paraId="63461B76" w14:textId="7AE93E44" w:rsidR="00BE643A" w:rsidRDefault="00DD21D8" w:rsidP="00BE643A">
      <w:pPr>
        <w:pStyle w:val="ListParagraph"/>
        <w:numPr>
          <w:ilvl w:val="0"/>
          <w:numId w:val="3"/>
        </w:numPr>
        <w:rPr>
          <w:rFonts w:ascii="Verdana" w:hAnsi="Verdana"/>
        </w:rPr>
      </w:pPr>
      <w:r>
        <w:rPr>
          <w:rFonts w:ascii="Verdana" w:hAnsi="Verdana"/>
        </w:rPr>
        <w:t xml:space="preserve">Réparations bâtiment </w:t>
      </w:r>
      <w:r>
        <w:rPr>
          <w:rFonts w:ascii="Verdana" w:hAnsi="Verdana"/>
        </w:rPr>
        <w:tab/>
        <w:t xml:space="preserve">=   </w:t>
      </w:r>
      <w:r w:rsidR="00DA2DA3">
        <w:rPr>
          <w:rFonts w:ascii="Verdana" w:hAnsi="Verdana"/>
        </w:rPr>
        <w:t>10 838</w:t>
      </w:r>
      <w:r w:rsidR="00BE643A">
        <w:rPr>
          <w:rFonts w:ascii="Verdana" w:hAnsi="Verdana"/>
        </w:rPr>
        <w:t xml:space="preserve"> €</w:t>
      </w:r>
      <w:r>
        <w:rPr>
          <w:rFonts w:ascii="Verdana" w:hAnsi="Verdana"/>
        </w:rPr>
        <w:t xml:space="preserve"> </w:t>
      </w:r>
      <w:r>
        <w:rPr>
          <w:rFonts w:ascii="Verdana" w:hAnsi="Verdana"/>
        </w:rPr>
        <w:tab/>
        <w:t>(201</w:t>
      </w:r>
      <w:r w:rsidR="00DA2DA3">
        <w:rPr>
          <w:rFonts w:ascii="Verdana" w:hAnsi="Verdana"/>
        </w:rPr>
        <w:t>8</w:t>
      </w:r>
      <w:r>
        <w:rPr>
          <w:rFonts w:ascii="Verdana" w:hAnsi="Verdana"/>
        </w:rPr>
        <w:t xml:space="preserve"> =</w:t>
      </w:r>
      <w:r w:rsidR="002316CA">
        <w:rPr>
          <w:rFonts w:ascii="Verdana" w:hAnsi="Verdana"/>
        </w:rPr>
        <w:t xml:space="preserve">   </w:t>
      </w:r>
      <w:r>
        <w:rPr>
          <w:rFonts w:ascii="Verdana" w:hAnsi="Verdana"/>
        </w:rPr>
        <w:t xml:space="preserve"> </w:t>
      </w:r>
      <w:r w:rsidR="00DA2DA3">
        <w:rPr>
          <w:rFonts w:ascii="Verdana" w:hAnsi="Verdana"/>
        </w:rPr>
        <w:t>4 796</w:t>
      </w:r>
      <w:r>
        <w:rPr>
          <w:rFonts w:ascii="Verdana" w:hAnsi="Verdana"/>
        </w:rPr>
        <w:t xml:space="preserve"> €)</w:t>
      </w:r>
    </w:p>
    <w:p w14:paraId="2BE5B4D7" w14:textId="4901951B" w:rsidR="00DD21D8" w:rsidRPr="00DA2DA3" w:rsidRDefault="00DD21D8" w:rsidP="00DA2DA3">
      <w:pPr>
        <w:pStyle w:val="ListParagraph"/>
        <w:numPr>
          <w:ilvl w:val="0"/>
          <w:numId w:val="3"/>
        </w:numPr>
        <w:rPr>
          <w:rFonts w:ascii="Verdana" w:hAnsi="Verdana"/>
        </w:rPr>
      </w:pPr>
      <w:r>
        <w:rPr>
          <w:rFonts w:ascii="Verdana" w:hAnsi="Verdana"/>
        </w:rPr>
        <w:t>Réparations matériel</w:t>
      </w:r>
      <w:r>
        <w:rPr>
          <w:rFonts w:ascii="Verdana" w:hAnsi="Verdana"/>
        </w:rPr>
        <w:tab/>
        <w:t xml:space="preserve">=     </w:t>
      </w:r>
      <w:r w:rsidR="00DA2DA3">
        <w:rPr>
          <w:rFonts w:ascii="Verdana" w:hAnsi="Verdana"/>
        </w:rPr>
        <w:t>1 762</w:t>
      </w:r>
      <w:r w:rsidR="00BE643A">
        <w:rPr>
          <w:rFonts w:ascii="Verdana" w:hAnsi="Verdana"/>
        </w:rPr>
        <w:t xml:space="preserve"> €</w:t>
      </w:r>
      <w:r>
        <w:rPr>
          <w:rFonts w:ascii="Verdana" w:hAnsi="Verdana"/>
        </w:rPr>
        <w:t xml:space="preserve"> </w:t>
      </w:r>
      <w:r>
        <w:rPr>
          <w:rFonts w:ascii="Verdana" w:hAnsi="Verdana"/>
        </w:rPr>
        <w:tab/>
        <w:t>(201</w:t>
      </w:r>
      <w:r w:rsidR="00DA2DA3">
        <w:rPr>
          <w:rFonts w:ascii="Verdana" w:hAnsi="Verdana"/>
        </w:rPr>
        <w:t>8</w:t>
      </w:r>
      <w:r>
        <w:rPr>
          <w:rFonts w:ascii="Verdana" w:hAnsi="Verdana"/>
        </w:rPr>
        <w:t xml:space="preserve"> = </w:t>
      </w:r>
      <w:r w:rsidR="002316CA">
        <w:rPr>
          <w:rFonts w:ascii="Verdana" w:hAnsi="Verdana"/>
        </w:rPr>
        <w:t xml:space="preserve">   </w:t>
      </w:r>
      <w:r w:rsidR="00DA2DA3">
        <w:rPr>
          <w:rFonts w:ascii="Verdana" w:hAnsi="Verdana"/>
        </w:rPr>
        <w:t>7 280</w:t>
      </w:r>
      <w:r>
        <w:rPr>
          <w:rFonts w:ascii="Verdana" w:hAnsi="Verdana"/>
        </w:rPr>
        <w:t xml:space="preserve"> €)</w:t>
      </w:r>
    </w:p>
    <w:p w14:paraId="26575BCC" w14:textId="78FEB28F" w:rsidR="00DD21D8" w:rsidRDefault="00DD21D8" w:rsidP="00BE643A">
      <w:pPr>
        <w:pStyle w:val="ListParagraph"/>
        <w:numPr>
          <w:ilvl w:val="0"/>
          <w:numId w:val="3"/>
        </w:numPr>
        <w:rPr>
          <w:rFonts w:ascii="Verdana" w:hAnsi="Verdana"/>
        </w:rPr>
      </w:pPr>
      <w:r>
        <w:rPr>
          <w:rFonts w:ascii="Verdana" w:hAnsi="Verdana"/>
        </w:rPr>
        <w:t xml:space="preserve">Maintenance </w:t>
      </w:r>
      <w:r>
        <w:rPr>
          <w:rFonts w:ascii="Verdana" w:hAnsi="Verdana"/>
        </w:rPr>
        <w:tab/>
      </w:r>
      <w:r>
        <w:rPr>
          <w:rFonts w:ascii="Verdana" w:hAnsi="Verdana"/>
        </w:rPr>
        <w:tab/>
        <w:t xml:space="preserve">=     </w:t>
      </w:r>
      <w:r w:rsidR="00DA2DA3">
        <w:rPr>
          <w:rFonts w:ascii="Verdana" w:hAnsi="Verdana"/>
        </w:rPr>
        <w:t xml:space="preserve">6 275 </w:t>
      </w:r>
      <w:r>
        <w:rPr>
          <w:rFonts w:ascii="Verdana" w:hAnsi="Verdana"/>
        </w:rPr>
        <w:t>€</w:t>
      </w:r>
      <w:r w:rsidR="00DA2DA3">
        <w:rPr>
          <w:rFonts w:ascii="Verdana" w:hAnsi="Verdana"/>
        </w:rPr>
        <w:tab/>
        <w:t xml:space="preserve">(2018 = </w:t>
      </w:r>
      <w:r w:rsidR="002316CA">
        <w:rPr>
          <w:rFonts w:ascii="Verdana" w:hAnsi="Verdana"/>
        </w:rPr>
        <w:t xml:space="preserve">   </w:t>
      </w:r>
      <w:r w:rsidR="00DA2DA3">
        <w:rPr>
          <w:rFonts w:ascii="Verdana" w:hAnsi="Verdana"/>
        </w:rPr>
        <w:t>1 324 €)</w:t>
      </w:r>
    </w:p>
    <w:p w14:paraId="6623760A" w14:textId="5B662E8B" w:rsidR="00EA126A" w:rsidRDefault="00DD21D8" w:rsidP="00EA126A">
      <w:pPr>
        <w:ind w:left="568" w:right="-567" w:firstLine="708"/>
        <w:jc w:val="both"/>
        <w:rPr>
          <w:rFonts w:ascii="Verdana" w:hAnsi="Verdana"/>
          <w:b/>
        </w:rPr>
      </w:pPr>
      <w:r>
        <w:rPr>
          <w:rFonts w:ascii="Verdana" w:hAnsi="Verdana"/>
          <w:b/>
        </w:rPr>
        <w:t>Soit en 201</w:t>
      </w:r>
      <w:r w:rsidR="00DA2DA3">
        <w:rPr>
          <w:rFonts w:ascii="Verdana" w:hAnsi="Verdana"/>
          <w:b/>
        </w:rPr>
        <w:t>9</w:t>
      </w:r>
      <w:r w:rsidR="00EA126A" w:rsidRPr="00D942DA">
        <w:rPr>
          <w:rFonts w:ascii="Verdana" w:hAnsi="Verdana"/>
          <w:b/>
        </w:rPr>
        <w:t xml:space="preserve"> </w:t>
      </w:r>
      <w:r w:rsidR="00E07970">
        <w:rPr>
          <w:rFonts w:ascii="Verdana" w:hAnsi="Verdana"/>
          <w:b/>
        </w:rPr>
        <w:t xml:space="preserve">+12 </w:t>
      </w:r>
      <w:r w:rsidR="00EA126A" w:rsidRPr="00D942DA">
        <w:rPr>
          <w:rFonts w:ascii="Verdana" w:hAnsi="Verdana"/>
          <w:b/>
        </w:rPr>
        <w:t xml:space="preserve">% </w:t>
      </w:r>
      <w:r w:rsidR="00BE643A" w:rsidRPr="00D942DA">
        <w:rPr>
          <w:rFonts w:ascii="Verdana" w:hAnsi="Verdana"/>
          <w:b/>
        </w:rPr>
        <w:t>de dépenses réelles de fonctionnement</w:t>
      </w:r>
    </w:p>
    <w:p w14:paraId="7974428F" w14:textId="370F275F" w:rsidR="00E07970" w:rsidRPr="00D942DA" w:rsidRDefault="00E07970" w:rsidP="00EA126A">
      <w:pPr>
        <w:ind w:left="568" w:right="-567" w:firstLine="708"/>
        <w:jc w:val="both"/>
        <w:rPr>
          <w:rFonts w:ascii="Verdana" w:hAnsi="Verdana"/>
          <w:b/>
        </w:rPr>
      </w:pPr>
      <w:r>
        <w:rPr>
          <w:rFonts w:ascii="Verdana" w:hAnsi="Verdana"/>
          <w:b/>
        </w:rPr>
        <w:t>Augmentation des achats de repas</w:t>
      </w:r>
      <w:r w:rsidR="00D35C03">
        <w:rPr>
          <w:rFonts w:ascii="Verdana" w:hAnsi="Verdana"/>
          <w:b/>
        </w:rPr>
        <w:t>.</w:t>
      </w:r>
    </w:p>
    <w:p w14:paraId="7C2A69DF" w14:textId="77777777" w:rsidR="008D3BAC" w:rsidRPr="00E07970" w:rsidRDefault="008D3BAC" w:rsidP="00E07970">
      <w:pPr>
        <w:ind w:right="-567"/>
        <w:jc w:val="both"/>
        <w:rPr>
          <w:rFonts w:ascii="Verdana" w:hAnsi="Verdana"/>
        </w:rPr>
      </w:pPr>
      <w:r w:rsidRPr="00E07970">
        <w:rPr>
          <w:rFonts w:ascii="Verdana" w:hAnsi="Verdana"/>
        </w:rPr>
        <w:tab/>
      </w:r>
      <w:r w:rsidRPr="00E07970">
        <w:rPr>
          <w:rFonts w:ascii="Verdana" w:hAnsi="Verdana"/>
        </w:rPr>
        <w:tab/>
        <w:t xml:space="preserve">       </w:t>
      </w:r>
    </w:p>
    <w:p w14:paraId="022C8F05" w14:textId="5BEF7B7A" w:rsidR="00EA126A" w:rsidRDefault="00EA126A" w:rsidP="00EA126A">
      <w:pPr>
        <w:ind w:left="568" w:right="-567" w:firstLine="708"/>
        <w:jc w:val="both"/>
        <w:rPr>
          <w:rFonts w:ascii="Verdana" w:hAnsi="Verdana"/>
        </w:rPr>
      </w:pPr>
      <w:r w:rsidRPr="00D800F4">
        <w:rPr>
          <w:rFonts w:ascii="Verdana" w:hAnsi="Verdana"/>
          <w:b/>
        </w:rPr>
        <w:t xml:space="preserve">Recettes </w:t>
      </w:r>
      <w:r w:rsidR="002C6170" w:rsidRPr="00D800F4">
        <w:rPr>
          <w:rFonts w:ascii="Verdana" w:hAnsi="Verdana"/>
          <w:b/>
        </w:rPr>
        <w:t>réelles</w:t>
      </w:r>
      <w:r w:rsidR="002C6170">
        <w:rPr>
          <w:rFonts w:ascii="Verdana" w:hAnsi="Verdana"/>
        </w:rPr>
        <w:t xml:space="preserve"> </w:t>
      </w:r>
      <w:r w:rsidR="00E07970" w:rsidRPr="00E07970">
        <w:rPr>
          <w:rFonts w:ascii="Verdana" w:hAnsi="Verdana"/>
          <w:b/>
        </w:rPr>
        <w:t>réalisées 201</w:t>
      </w:r>
      <w:r w:rsidR="00D35C03">
        <w:rPr>
          <w:rFonts w:ascii="Verdana" w:hAnsi="Verdana"/>
          <w:b/>
        </w:rPr>
        <w:t>9</w:t>
      </w:r>
      <w:r w:rsidR="004B705C" w:rsidRPr="00E07970">
        <w:rPr>
          <w:rFonts w:ascii="Verdana" w:hAnsi="Verdana"/>
          <w:b/>
        </w:rPr>
        <w:t xml:space="preserve"> </w:t>
      </w:r>
      <w:r w:rsidRPr="00E07970">
        <w:rPr>
          <w:rFonts w:ascii="Verdana" w:hAnsi="Verdana"/>
          <w:b/>
        </w:rPr>
        <w:t>=</w:t>
      </w:r>
      <w:r w:rsidR="00D35C03">
        <w:rPr>
          <w:rFonts w:ascii="Verdana" w:hAnsi="Verdana"/>
          <w:b/>
        </w:rPr>
        <w:t xml:space="preserve"> 243 625</w:t>
      </w:r>
      <w:r w:rsidR="00E07970" w:rsidRPr="00E07970">
        <w:rPr>
          <w:rFonts w:ascii="Verdana" w:hAnsi="Verdana"/>
          <w:b/>
        </w:rPr>
        <w:t xml:space="preserve"> €</w:t>
      </w:r>
      <w:r w:rsidR="00441D75">
        <w:rPr>
          <w:rFonts w:ascii="Verdana" w:hAnsi="Verdana"/>
        </w:rPr>
        <w:t xml:space="preserve">  </w:t>
      </w:r>
      <w:r w:rsidR="00E07970">
        <w:rPr>
          <w:rFonts w:ascii="Verdana" w:hAnsi="Verdana"/>
        </w:rPr>
        <w:t>(201</w:t>
      </w:r>
      <w:r w:rsidR="00D35C03">
        <w:rPr>
          <w:rFonts w:ascii="Verdana" w:hAnsi="Verdana"/>
        </w:rPr>
        <w:t>8</w:t>
      </w:r>
      <w:r w:rsidR="00E07970">
        <w:rPr>
          <w:rFonts w:ascii="Verdana" w:hAnsi="Verdana"/>
        </w:rPr>
        <w:t xml:space="preserve"> = </w:t>
      </w:r>
      <w:r w:rsidR="00D35C03">
        <w:rPr>
          <w:rFonts w:ascii="Verdana" w:hAnsi="Verdana"/>
        </w:rPr>
        <w:t>219 325</w:t>
      </w:r>
      <w:r w:rsidR="00441D75" w:rsidRPr="00E07970">
        <w:rPr>
          <w:rFonts w:ascii="Verdana" w:hAnsi="Verdana"/>
        </w:rPr>
        <w:t xml:space="preserve"> €</w:t>
      </w:r>
      <w:r w:rsidR="00E07970">
        <w:rPr>
          <w:rFonts w:ascii="Verdana" w:hAnsi="Verdana"/>
        </w:rPr>
        <w:t>)</w:t>
      </w:r>
      <w:r w:rsidR="008D3BAC">
        <w:rPr>
          <w:rFonts w:ascii="Verdana" w:hAnsi="Verdana"/>
        </w:rPr>
        <w:t xml:space="preserve"> </w:t>
      </w:r>
    </w:p>
    <w:p w14:paraId="027761CD" w14:textId="05A88202" w:rsidR="008D3BAC" w:rsidRDefault="008D3BAC" w:rsidP="008D3BAC">
      <w:pPr>
        <w:pStyle w:val="ListParagraph"/>
        <w:numPr>
          <w:ilvl w:val="0"/>
          <w:numId w:val="3"/>
        </w:numPr>
        <w:ind w:right="-567"/>
        <w:jc w:val="both"/>
        <w:rPr>
          <w:rFonts w:ascii="Verdana" w:hAnsi="Verdana"/>
        </w:rPr>
      </w:pPr>
      <w:r>
        <w:rPr>
          <w:rFonts w:ascii="Verdana" w:hAnsi="Verdana"/>
        </w:rPr>
        <w:t xml:space="preserve">Régie cantine </w:t>
      </w:r>
      <w:r>
        <w:rPr>
          <w:rFonts w:ascii="Verdana" w:hAnsi="Verdana"/>
        </w:rPr>
        <w:tab/>
      </w:r>
      <w:r>
        <w:rPr>
          <w:rFonts w:ascii="Verdana" w:hAnsi="Verdana"/>
        </w:rPr>
        <w:tab/>
        <w:t xml:space="preserve">= </w:t>
      </w:r>
      <w:r w:rsidR="00D35C03">
        <w:rPr>
          <w:rFonts w:ascii="Verdana" w:hAnsi="Verdana"/>
        </w:rPr>
        <w:t>165 690</w:t>
      </w:r>
      <w:r w:rsidR="00E07970">
        <w:rPr>
          <w:rFonts w:ascii="Verdana" w:hAnsi="Verdana"/>
        </w:rPr>
        <w:t xml:space="preserve"> € </w:t>
      </w:r>
      <w:r w:rsidR="00D35C03">
        <w:rPr>
          <w:rFonts w:ascii="Verdana" w:hAnsi="Verdana"/>
        </w:rPr>
        <w:t xml:space="preserve">        </w:t>
      </w:r>
      <w:r w:rsidR="00E07970">
        <w:rPr>
          <w:rFonts w:ascii="Verdana" w:hAnsi="Verdana"/>
        </w:rPr>
        <w:t>(201</w:t>
      </w:r>
      <w:r w:rsidR="00D35C03">
        <w:rPr>
          <w:rFonts w:ascii="Verdana" w:hAnsi="Verdana"/>
        </w:rPr>
        <w:t>8</w:t>
      </w:r>
      <w:r w:rsidR="00E07970">
        <w:rPr>
          <w:rFonts w:ascii="Verdana" w:hAnsi="Verdana"/>
        </w:rPr>
        <w:t xml:space="preserve"> = </w:t>
      </w:r>
      <w:r>
        <w:rPr>
          <w:rFonts w:ascii="Verdana" w:hAnsi="Verdana"/>
        </w:rPr>
        <w:t>1</w:t>
      </w:r>
      <w:r w:rsidR="00D35C03">
        <w:rPr>
          <w:rFonts w:ascii="Verdana" w:hAnsi="Verdana"/>
        </w:rPr>
        <w:t>48 004</w:t>
      </w:r>
      <w:r>
        <w:rPr>
          <w:rFonts w:ascii="Verdana" w:hAnsi="Verdana"/>
        </w:rPr>
        <w:t xml:space="preserve"> €</w:t>
      </w:r>
      <w:r w:rsidR="00E07970">
        <w:rPr>
          <w:rFonts w:ascii="Verdana" w:hAnsi="Verdana"/>
        </w:rPr>
        <w:t>)</w:t>
      </w:r>
    </w:p>
    <w:p w14:paraId="38EFA4AE" w14:textId="3F245B55" w:rsidR="008D3BAC" w:rsidRDefault="008D3BAC" w:rsidP="008D3BAC">
      <w:pPr>
        <w:pStyle w:val="ListParagraph"/>
        <w:numPr>
          <w:ilvl w:val="0"/>
          <w:numId w:val="3"/>
        </w:numPr>
        <w:ind w:right="-567"/>
        <w:jc w:val="both"/>
        <w:rPr>
          <w:rFonts w:ascii="Verdana" w:hAnsi="Verdana"/>
        </w:rPr>
      </w:pPr>
      <w:r>
        <w:rPr>
          <w:rFonts w:ascii="Verdana" w:hAnsi="Verdana"/>
        </w:rPr>
        <w:t xml:space="preserve">Redevance Scolarest </w:t>
      </w:r>
      <w:r>
        <w:rPr>
          <w:rFonts w:ascii="Verdana" w:hAnsi="Verdana"/>
        </w:rPr>
        <w:tab/>
        <w:t xml:space="preserve">=   </w:t>
      </w:r>
      <w:r w:rsidR="00D35C03">
        <w:rPr>
          <w:rFonts w:ascii="Verdana" w:hAnsi="Verdana"/>
        </w:rPr>
        <w:t>40 400</w:t>
      </w:r>
      <w:r>
        <w:rPr>
          <w:rFonts w:ascii="Verdana" w:hAnsi="Verdana"/>
        </w:rPr>
        <w:t xml:space="preserve"> €</w:t>
      </w:r>
      <w:r w:rsidR="00E07970">
        <w:rPr>
          <w:rFonts w:ascii="Verdana" w:hAnsi="Verdana"/>
        </w:rPr>
        <w:t xml:space="preserve"> </w:t>
      </w:r>
      <w:r w:rsidR="00E07970">
        <w:rPr>
          <w:rFonts w:ascii="Verdana" w:hAnsi="Verdana"/>
        </w:rPr>
        <w:tab/>
        <w:t>(201</w:t>
      </w:r>
      <w:r w:rsidR="00D35C03">
        <w:rPr>
          <w:rFonts w:ascii="Verdana" w:hAnsi="Verdana"/>
        </w:rPr>
        <w:t>8</w:t>
      </w:r>
      <w:r w:rsidR="00E07970">
        <w:rPr>
          <w:rFonts w:ascii="Verdana" w:hAnsi="Verdana"/>
        </w:rPr>
        <w:t xml:space="preserve"> = 40 400 €)</w:t>
      </w:r>
    </w:p>
    <w:p w14:paraId="5C8D8251" w14:textId="7D883917" w:rsidR="00E07970" w:rsidRDefault="00E07970" w:rsidP="008D3BAC">
      <w:pPr>
        <w:pStyle w:val="ListParagraph"/>
        <w:numPr>
          <w:ilvl w:val="0"/>
          <w:numId w:val="3"/>
        </w:numPr>
        <w:ind w:right="-567"/>
        <w:jc w:val="both"/>
        <w:rPr>
          <w:rFonts w:ascii="Verdana" w:hAnsi="Verdana"/>
        </w:rPr>
      </w:pPr>
      <w:r>
        <w:rPr>
          <w:rFonts w:ascii="Verdana" w:hAnsi="Verdana"/>
        </w:rPr>
        <w:t xml:space="preserve">FCTVA </w:t>
      </w:r>
      <w:r>
        <w:rPr>
          <w:rFonts w:ascii="Verdana" w:hAnsi="Verdana"/>
        </w:rPr>
        <w:tab/>
      </w:r>
      <w:r>
        <w:rPr>
          <w:rFonts w:ascii="Verdana" w:hAnsi="Verdana"/>
        </w:rPr>
        <w:tab/>
      </w:r>
      <w:r>
        <w:rPr>
          <w:rFonts w:ascii="Verdana" w:hAnsi="Verdana"/>
        </w:rPr>
        <w:tab/>
        <w:t xml:space="preserve">=     </w:t>
      </w:r>
      <w:r w:rsidR="00D35C03">
        <w:rPr>
          <w:rFonts w:ascii="Verdana" w:hAnsi="Verdana"/>
        </w:rPr>
        <w:t>2 155</w:t>
      </w:r>
      <w:r>
        <w:rPr>
          <w:rFonts w:ascii="Verdana" w:hAnsi="Verdana"/>
        </w:rPr>
        <w:t xml:space="preserve"> €</w:t>
      </w:r>
    </w:p>
    <w:p w14:paraId="3BCD5131" w14:textId="255FED0E" w:rsidR="00E07970" w:rsidRDefault="00E07970" w:rsidP="008D3BAC">
      <w:pPr>
        <w:pStyle w:val="ListParagraph"/>
        <w:numPr>
          <w:ilvl w:val="0"/>
          <w:numId w:val="3"/>
        </w:numPr>
        <w:ind w:right="-567"/>
        <w:jc w:val="both"/>
        <w:rPr>
          <w:rFonts w:ascii="Verdana" w:hAnsi="Verdana"/>
        </w:rPr>
      </w:pPr>
      <w:r>
        <w:rPr>
          <w:rFonts w:ascii="Verdana" w:hAnsi="Verdana"/>
        </w:rPr>
        <w:t xml:space="preserve">Subvention commune </w:t>
      </w:r>
      <w:r>
        <w:rPr>
          <w:rFonts w:ascii="Verdana" w:hAnsi="Verdana"/>
        </w:rPr>
        <w:tab/>
        <w:t xml:space="preserve">=   </w:t>
      </w:r>
      <w:r w:rsidR="00D35C03">
        <w:rPr>
          <w:rFonts w:ascii="Verdana" w:hAnsi="Verdana"/>
        </w:rPr>
        <w:t>30 716</w:t>
      </w:r>
      <w:r>
        <w:rPr>
          <w:rFonts w:ascii="Verdana" w:hAnsi="Verdana"/>
        </w:rPr>
        <w:t xml:space="preserve"> €</w:t>
      </w:r>
      <w:r w:rsidR="00D35C03">
        <w:rPr>
          <w:rFonts w:ascii="Verdana" w:hAnsi="Verdana"/>
        </w:rPr>
        <w:tab/>
      </w:r>
      <w:r w:rsidR="00D35C03">
        <w:rPr>
          <w:rFonts w:ascii="Verdana" w:hAnsi="Verdana"/>
        </w:rPr>
        <w:tab/>
        <w:t>(2018 = 14 000 €)</w:t>
      </w:r>
    </w:p>
    <w:p w14:paraId="4EB090A1" w14:textId="77777777" w:rsidR="00E07970" w:rsidRDefault="00E07970" w:rsidP="00EA126A">
      <w:pPr>
        <w:ind w:left="568" w:right="-567" w:firstLine="708"/>
        <w:jc w:val="both"/>
        <w:rPr>
          <w:rFonts w:ascii="Verdana" w:hAnsi="Verdana"/>
          <w:b/>
        </w:rPr>
      </w:pPr>
    </w:p>
    <w:p w14:paraId="66A9436F" w14:textId="3243AE5E" w:rsidR="00EA126A" w:rsidRDefault="00D942DA" w:rsidP="00EA126A">
      <w:pPr>
        <w:ind w:left="568" w:right="-567" w:firstLine="708"/>
        <w:jc w:val="both"/>
        <w:rPr>
          <w:rFonts w:ascii="Verdana" w:hAnsi="Verdana"/>
          <w:b/>
        </w:rPr>
      </w:pPr>
      <w:r w:rsidRPr="00D942DA">
        <w:rPr>
          <w:rFonts w:ascii="Verdana" w:hAnsi="Verdana"/>
          <w:b/>
        </w:rPr>
        <w:t xml:space="preserve">Soit en </w:t>
      </w:r>
      <w:r w:rsidR="00E07970">
        <w:rPr>
          <w:rFonts w:ascii="Verdana" w:hAnsi="Verdana"/>
          <w:b/>
        </w:rPr>
        <w:t>201</w:t>
      </w:r>
      <w:r w:rsidR="00D35C03">
        <w:rPr>
          <w:rFonts w:ascii="Verdana" w:hAnsi="Verdana"/>
          <w:b/>
        </w:rPr>
        <w:t>9</w:t>
      </w:r>
      <w:r w:rsidR="00EA126A" w:rsidRPr="00D942DA">
        <w:rPr>
          <w:rFonts w:ascii="Verdana" w:hAnsi="Verdana"/>
          <w:b/>
        </w:rPr>
        <w:t xml:space="preserve">  </w:t>
      </w:r>
      <w:r w:rsidR="00E07970">
        <w:rPr>
          <w:rFonts w:ascii="Verdana" w:hAnsi="Verdana"/>
          <w:b/>
        </w:rPr>
        <w:t xml:space="preserve">+ </w:t>
      </w:r>
      <w:r w:rsidR="00D35C03">
        <w:rPr>
          <w:rFonts w:ascii="Verdana" w:hAnsi="Verdana"/>
          <w:b/>
        </w:rPr>
        <w:t>11</w:t>
      </w:r>
      <w:r w:rsidR="00E07970">
        <w:rPr>
          <w:rFonts w:ascii="Verdana" w:hAnsi="Verdana"/>
          <w:b/>
        </w:rPr>
        <w:t xml:space="preserve">% </w:t>
      </w:r>
      <w:r w:rsidR="00E95C72" w:rsidRPr="00D942DA">
        <w:rPr>
          <w:rFonts w:ascii="Verdana" w:hAnsi="Verdana"/>
          <w:b/>
        </w:rPr>
        <w:t>%</w:t>
      </w:r>
      <w:r w:rsidR="002C6170" w:rsidRPr="00D942DA">
        <w:rPr>
          <w:rFonts w:ascii="Verdana" w:hAnsi="Verdana"/>
          <w:b/>
        </w:rPr>
        <w:t xml:space="preserve"> </w:t>
      </w:r>
      <w:r w:rsidRPr="00D942DA">
        <w:rPr>
          <w:rFonts w:ascii="Verdana" w:hAnsi="Verdana"/>
          <w:b/>
        </w:rPr>
        <w:t>de recettes réelles de fonctionnement</w:t>
      </w:r>
    </w:p>
    <w:p w14:paraId="068CD617" w14:textId="274654C4" w:rsidR="00E07970" w:rsidRDefault="00D942DA" w:rsidP="00D942DA">
      <w:pPr>
        <w:ind w:left="1276" w:right="-567"/>
        <w:jc w:val="both"/>
        <w:rPr>
          <w:rFonts w:ascii="Verdana" w:hAnsi="Verdana"/>
        </w:rPr>
      </w:pPr>
      <w:r>
        <w:rPr>
          <w:rFonts w:ascii="Verdana" w:hAnsi="Verdana"/>
        </w:rPr>
        <w:lastRenderedPageBreak/>
        <w:t>A noter le coût différentiel pour la commune entre l’ac</w:t>
      </w:r>
      <w:r w:rsidR="00E07970">
        <w:rPr>
          <w:rFonts w:ascii="Verdana" w:hAnsi="Verdana"/>
        </w:rPr>
        <w:t>hat et la vente de repas en 201</w:t>
      </w:r>
      <w:r w:rsidR="00D35C03">
        <w:rPr>
          <w:rFonts w:ascii="Verdana" w:hAnsi="Verdana"/>
        </w:rPr>
        <w:t>9</w:t>
      </w:r>
      <w:r>
        <w:rPr>
          <w:rFonts w:ascii="Verdana" w:hAnsi="Verdana"/>
        </w:rPr>
        <w:t xml:space="preserve"> = </w:t>
      </w:r>
      <w:r w:rsidR="00E07970">
        <w:rPr>
          <w:rFonts w:ascii="Verdana" w:hAnsi="Verdana"/>
        </w:rPr>
        <w:t xml:space="preserve">- </w:t>
      </w:r>
      <w:r w:rsidR="00D35C03">
        <w:rPr>
          <w:rFonts w:ascii="Verdana" w:hAnsi="Verdana"/>
        </w:rPr>
        <w:t>32 054 €</w:t>
      </w:r>
      <w:r w:rsidR="00E07970">
        <w:rPr>
          <w:rFonts w:ascii="Verdana" w:hAnsi="Verdana"/>
        </w:rPr>
        <w:t xml:space="preserve"> (201</w:t>
      </w:r>
      <w:r w:rsidR="00D35C03">
        <w:rPr>
          <w:rFonts w:ascii="Verdana" w:hAnsi="Verdana"/>
        </w:rPr>
        <w:t>8</w:t>
      </w:r>
      <w:r w:rsidR="00E07970">
        <w:rPr>
          <w:rFonts w:ascii="Verdana" w:hAnsi="Verdana"/>
        </w:rPr>
        <w:t xml:space="preserve"> = </w:t>
      </w:r>
      <w:r w:rsidRPr="00E07970">
        <w:rPr>
          <w:rFonts w:ascii="Verdana" w:hAnsi="Verdana"/>
        </w:rPr>
        <w:t xml:space="preserve">- </w:t>
      </w:r>
      <w:r w:rsidR="00D35C03">
        <w:rPr>
          <w:rFonts w:ascii="Verdana" w:hAnsi="Verdana"/>
        </w:rPr>
        <w:t>29 079</w:t>
      </w:r>
      <w:r w:rsidRPr="00E07970">
        <w:rPr>
          <w:rFonts w:ascii="Verdana" w:hAnsi="Verdana"/>
        </w:rPr>
        <w:t xml:space="preserve"> €</w:t>
      </w:r>
      <w:r w:rsidR="00E07970" w:rsidRPr="00E07970">
        <w:rPr>
          <w:rFonts w:ascii="Verdana" w:hAnsi="Verdana"/>
        </w:rPr>
        <w:t>)</w:t>
      </w:r>
      <w:r w:rsidRPr="00E07970">
        <w:rPr>
          <w:rFonts w:ascii="Verdana" w:hAnsi="Verdana"/>
        </w:rPr>
        <w:t>.</w:t>
      </w:r>
      <w:r>
        <w:rPr>
          <w:rFonts w:ascii="Verdana" w:hAnsi="Verdana"/>
        </w:rPr>
        <w:t xml:space="preserve"> </w:t>
      </w:r>
    </w:p>
    <w:p w14:paraId="63FDDEE2" w14:textId="77777777" w:rsidR="005D244D" w:rsidRDefault="005D244D" w:rsidP="00D942DA">
      <w:pPr>
        <w:ind w:left="1276" w:right="-567"/>
        <w:jc w:val="both"/>
        <w:rPr>
          <w:rFonts w:ascii="Verdana" w:hAnsi="Verdana"/>
        </w:rPr>
      </w:pPr>
      <w:r>
        <w:rPr>
          <w:rFonts w:ascii="Verdana" w:hAnsi="Verdana"/>
        </w:rPr>
        <w:t>Cette différence est due à l’augmentation des effectifs cantine.</w:t>
      </w:r>
    </w:p>
    <w:p w14:paraId="1D5C7C97" w14:textId="2250FD93" w:rsidR="00D942DA" w:rsidRDefault="00D942DA" w:rsidP="00D942DA">
      <w:pPr>
        <w:ind w:left="1276" w:right="-567"/>
        <w:jc w:val="both"/>
        <w:rPr>
          <w:rFonts w:ascii="Verdana" w:hAnsi="Verdana"/>
        </w:rPr>
      </w:pPr>
      <w:r>
        <w:rPr>
          <w:rFonts w:ascii="Verdana" w:hAnsi="Verdana"/>
        </w:rPr>
        <w:t>Ceci représente ce que coûtent les tarifs au quotient familial.</w:t>
      </w:r>
      <w:r w:rsidR="007C6650">
        <w:rPr>
          <w:rFonts w:ascii="Verdana" w:hAnsi="Verdana"/>
        </w:rPr>
        <w:t xml:space="preserve"> </w:t>
      </w:r>
    </w:p>
    <w:p w14:paraId="181CC73F" w14:textId="2534D5F2" w:rsidR="000912F3" w:rsidRDefault="000912F3" w:rsidP="00D942DA">
      <w:pPr>
        <w:ind w:left="1276" w:right="-567"/>
        <w:jc w:val="both"/>
        <w:rPr>
          <w:rFonts w:ascii="Verdana" w:hAnsi="Verdana"/>
        </w:rPr>
      </w:pPr>
      <w:r>
        <w:rPr>
          <w:rFonts w:ascii="Verdana" w:hAnsi="Verdana"/>
        </w:rPr>
        <w:t>Il serait par ailleurs nécessaire d’évaluer le prix payé par les familles par rapport au coût total du service par enfant.</w:t>
      </w:r>
    </w:p>
    <w:p w14:paraId="7E86D281" w14:textId="77777777" w:rsidR="00B84E5A" w:rsidRDefault="00B84E5A" w:rsidP="005744E7">
      <w:pPr>
        <w:pStyle w:val="NoSpacing"/>
        <w:ind w:left="1276"/>
        <w:rPr>
          <w:rFonts w:ascii="Verdana" w:hAnsi="Verdana"/>
          <w:b/>
        </w:rPr>
      </w:pPr>
    </w:p>
    <w:p w14:paraId="0F036962" w14:textId="2E549938" w:rsidR="005744E7" w:rsidRDefault="00BC2DC1" w:rsidP="00B84E5A">
      <w:pPr>
        <w:pStyle w:val="NoSpacing"/>
        <w:ind w:left="1276"/>
        <w:rPr>
          <w:rFonts w:ascii="Verdana" w:hAnsi="Verdana"/>
          <w:b/>
        </w:rPr>
      </w:pPr>
      <w:r>
        <w:rPr>
          <w:rFonts w:ascii="Verdana" w:hAnsi="Verdana"/>
          <w:b/>
        </w:rPr>
        <w:t xml:space="preserve">Le résultat du compte administratif 2019 </w:t>
      </w:r>
      <w:r w:rsidR="00B84E5A">
        <w:rPr>
          <w:rFonts w:ascii="Verdana" w:hAnsi="Verdana"/>
          <w:b/>
        </w:rPr>
        <w:t>en fonctionnement </w:t>
      </w:r>
      <w:r>
        <w:rPr>
          <w:rFonts w:ascii="Verdana" w:hAnsi="Verdana"/>
          <w:b/>
        </w:rPr>
        <w:t>est le suivant :</w:t>
      </w:r>
    </w:p>
    <w:p w14:paraId="66B6EC50" w14:textId="12949813" w:rsidR="00BC2DC1" w:rsidRDefault="00BC2DC1" w:rsidP="00B84E5A">
      <w:pPr>
        <w:pStyle w:val="NoSpacing"/>
        <w:ind w:left="1276"/>
        <w:jc w:val="both"/>
        <w:rPr>
          <w:rFonts w:ascii="Verdana" w:hAnsi="Verdana"/>
          <w:b/>
        </w:rPr>
      </w:pPr>
    </w:p>
    <w:p w14:paraId="5DAFA21D" w14:textId="5D9A659F" w:rsidR="00BC2DC1" w:rsidRDefault="00BC2DC1" w:rsidP="00B84E5A">
      <w:pPr>
        <w:pStyle w:val="NoSpacing"/>
        <w:ind w:left="568" w:firstLine="708"/>
        <w:jc w:val="both"/>
        <w:rPr>
          <w:rFonts w:ascii="Verdana" w:hAnsi="Verdana"/>
          <w:bCs/>
        </w:rPr>
      </w:pPr>
      <w:r w:rsidRPr="00BC2DC1">
        <w:rPr>
          <w:rFonts w:ascii="Verdana" w:hAnsi="Verdana"/>
          <w:bCs/>
        </w:rPr>
        <w:t>Résultat de clôture 2018</w:t>
      </w:r>
      <w:r>
        <w:rPr>
          <w:rFonts w:ascii="Verdana" w:hAnsi="Verdana"/>
          <w:bCs/>
        </w:rPr>
        <w:t xml:space="preserve"> </w:t>
      </w:r>
      <w:r>
        <w:rPr>
          <w:rFonts w:ascii="Verdana" w:hAnsi="Verdana"/>
          <w:bCs/>
        </w:rPr>
        <w:tab/>
      </w:r>
      <w:r>
        <w:rPr>
          <w:rFonts w:ascii="Verdana" w:hAnsi="Verdana"/>
          <w:bCs/>
        </w:rPr>
        <w:tab/>
      </w:r>
      <w:r>
        <w:rPr>
          <w:rFonts w:ascii="Verdana" w:hAnsi="Verdana"/>
          <w:bCs/>
        </w:rPr>
        <w:tab/>
      </w:r>
      <w:r>
        <w:rPr>
          <w:rFonts w:ascii="Verdana" w:hAnsi="Verdana"/>
          <w:bCs/>
        </w:rPr>
        <w:tab/>
        <w:t>= 4 607 €</w:t>
      </w:r>
    </w:p>
    <w:p w14:paraId="17865376" w14:textId="07396F2A" w:rsidR="00BC2DC1" w:rsidRDefault="00BC2DC1" w:rsidP="00B84E5A">
      <w:pPr>
        <w:pStyle w:val="NoSpacing"/>
        <w:ind w:left="1276"/>
        <w:jc w:val="both"/>
        <w:rPr>
          <w:rFonts w:ascii="Verdana" w:hAnsi="Verdana"/>
          <w:bCs/>
        </w:rPr>
      </w:pPr>
      <w:r>
        <w:rPr>
          <w:rFonts w:ascii="Verdana" w:hAnsi="Verdana"/>
          <w:bCs/>
        </w:rPr>
        <w:t xml:space="preserve">Net disponible au titre de l’excédent 2018 </w:t>
      </w:r>
      <w:r>
        <w:rPr>
          <w:rFonts w:ascii="Verdana" w:hAnsi="Verdana"/>
          <w:bCs/>
        </w:rPr>
        <w:tab/>
        <w:t>= 4 607 €</w:t>
      </w:r>
    </w:p>
    <w:p w14:paraId="1F8971BA" w14:textId="64546CF8" w:rsidR="00BC2DC1" w:rsidRDefault="00BC2DC1" w:rsidP="00B84E5A">
      <w:pPr>
        <w:pStyle w:val="NoSpacing"/>
        <w:ind w:left="1276"/>
        <w:jc w:val="both"/>
        <w:rPr>
          <w:rFonts w:ascii="Verdana" w:hAnsi="Verdana"/>
          <w:bCs/>
        </w:rPr>
      </w:pPr>
      <w:r>
        <w:rPr>
          <w:rFonts w:ascii="Verdana" w:hAnsi="Verdana"/>
          <w:bCs/>
        </w:rPr>
        <w:t xml:space="preserve">Résultat exercice 2019 </w:t>
      </w:r>
      <w:r>
        <w:rPr>
          <w:rFonts w:ascii="Verdana" w:hAnsi="Verdana"/>
          <w:bCs/>
        </w:rPr>
        <w:tab/>
      </w:r>
      <w:r>
        <w:rPr>
          <w:rFonts w:ascii="Verdana" w:hAnsi="Verdana"/>
          <w:bCs/>
        </w:rPr>
        <w:tab/>
      </w:r>
      <w:r>
        <w:rPr>
          <w:rFonts w:ascii="Verdana" w:hAnsi="Verdana"/>
          <w:bCs/>
        </w:rPr>
        <w:tab/>
      </w:r>
      <w:r>
        <w:rPr>
          <w:rFonts w:ascii="Verdana" w:hAnsi="Verdana"/>
          <w:bCs/>
        </w:rPr>
        <w:tab/>
        <w:t>= 1 143 €</w:t>
      </w:r>
    </w:p>
    <w:p w14:paraId="4A062B75" w14:textId="695EBE0B" w:rsidR="00BC2DC1" w:rsidRDefault="00BC2DC1" w:rsidP="00B84E5A">
      <w:pPr>
        <w:pStyle w:val="NoSpacing"/>
        <w:ind w:left="1276"/>
        <w:jc w:val="both"/>
        <w:rPr>
          <w:rFonts w:ascii="Verdana" w:hAnsi="Verdana"/>
          <w:bCs/>
        </w:rPr>
      </w:pPr>
      <w:r>
        <w:rPr>
          <w:rFonts w:ascii="Verdana" w:hAnsi="Verdana"/>
          <w:bCs/>
        </w:rPr>
        <w:t xml:space="preserve">Résultat définitif de clôture </w:t>
      </w:r>
      <w:r>
        <w:rPr>
          <w:rFonts w:ascii="Verdana" w:hAnsi="Verdana"/>
          <w:bCs/>
        </w:rPr>
        <w:tab/>
      </w:r>
      <w:r>
        <w:rPr>
          <w:rFonts w:ascii="Verdana" w:hAnsi="Verdana"/>
          <w:bCs/>
        </w:rPr>
        <w:tab/>
      </w:r>
      <w:r>
        <w:rPr>
          <w:rFonts w:ascii="Verdana" w:hAnsi="Verdana"/>
          <w:bCs/>
        </w:rPr>
        <w:tab/>
        <w:t>= 5 750 €</w:t>
      </w:r>
    </w:p>
    <w:p w14:paraId="42001B6D" w14:textId="192906D5" w:rsidR="00BC2DC1" w:rsidRDefault="00BC2DC1" w:rsidP="00B84E5A">
      <w:pPr>
        <w:pStyle w:val="NoSpacing"/>
        <w:ind w:left="1276"/>
        <w:jc w:val="both"/>
        <w:rPr>
          <w:rFonts w:ascii="Verdana" w:hAnsi="Verdana"/>
          <w:bCs/>
        </w:rPr>
      </w:pPr>
    </w:p>
    <w:p w14:paraId="55F7D1E0" w14:textId="0EE5CC50" w:rsidR="00BC2DC1" w:rsidRPr="00BC2DC1" w:rsidRDefault="00BC2DC1" w:rsidP="00B84E5A">
      <w:pPr>
        <w:pStyle w:val="NoSpacing"/>
        <w:ind w:left="1276"/>
        <w:jc w:val="both"/>
        <w:rPr>
          <w:rFonts w:ascii="Verdana" w:hAnsi="Verdana"/>
          <w:bCs/>
        </w:rPr>
      </w:pPr>
      <w:r>
        <w:rPr>
          <w:rFonts w:ascii="Verdana" w:hAnsi="Verdana"/>
          <w:bCs/>
        </w:rPr>
        <w:t>Le résultat de clôture est positif cette année.</w:t>
      </w:r>
    </w:p>
    <w:p w14:paraId="2C3CB08E" w14:textId="77777777" w:rsidR="00BC2DC1" w:rsidRDefault="00BC2DC1" w:rsidP="005744E7">
      <w:pPr>
        <w:pStyle w:val="NoSpacing"/>
        <w:ind w:left="1276"/>
        <w:rPr>
          <w:rFonts w:ascii="Verdana" w:hAnsi="Verdana"/>
        </w:rPr>
      </w:pPr>
    </w:p>
    <w:p w14:paraId="2DC5D482" w14:textId="77777777" w:rsidR="00D800F4" w:rsidRDefault="00D800F4" w:rsidP="005744E7">
      <w:pPr>
        <w:pStyle w:val="NoSpacing"/>
        <w:ind w:left="1276"/>
        <w:rPr>
          <w:rFonts w:ascii="Verdana" w:hAnsi="Verdana"/>
          <w:b/>
        </w:rPr>
      </w:pPr>
    </w:p>
    <w:p w14:paraId="6B243FC7" w14:textId="77777777" w:rsidR="00EA126A" w:rsidRPr="004D2CE8" w:rsidRDefault="00EA126A" w:rsidP="00B84E5A">
      <w:pPr>
        <w:ind w:left="568" w:right="-567" w:firstLine="708"/>
        <w:jc w:val="both"/>
        <w:rPr>
          <w:rFonts w:ascii="Verdana" w:hAnsi="Verdana"/>
          <w:b/>
        </w:rPr>
      </w:pPr>
      <w:r w:rsidRPr="00EA126A">
        <w:rPr>
          <w:rFonts w:ascii="Verdana" w:hAnsi="Verdana"/>
          <w:b/>
        </w:rPr>
        <w:t>En investissement :</w:t>
      </w:r>
    </w:p>
    <w:p w14:paraId="68AFAB27" w14:textId="2DCF0084" w:rsidR="00614FBB" w:rsidRDefault="00614FBB" w:rsidP="00614FBB">
      <w:pPr>
        <w:ind w:left="1276" w:right="-567"/>
        <w:jc w:val="both"/>
        <w:rPr>
          <w:rFonts w:ascii="Verdana" w:hAnsi="Verdana"/>
        </w:rPr>
      </w:pPr>
      <w:r w:rsidRPr="004D2CE8">
        <w:rPr>
          <w:rFonts w:ascii="Verdana" w:hAnsi="Verdana"/>
          <w:b/>
        </w:rPr>
        <w:t xml:space="preserve">Dépenses réelles réalisées </w:t>
      </w:r>
      <w:r w:rsidR="004D2CE8" w:rsidRPr="004D2CE8">
        <w:rPr>
          <w:rFonts w:ascii="Verdana" w:hAnsi="Verdana"/>
          <w:b/>
        </w:rPr>
        <w:t>201</w:t>
      </w:r>
      <w:r w:rsidR="00761314">
        <w:rPr>
          <w:rFonts w:ascii="Verdana" w:hAnsi="Verdana"/>
          <w:b/>
        </w:rPr>
        <w:t>9</w:t>
      </w:r>
      <w:r w:rsidR="004D2CE8" w:rsidRPr="004D2CE8">
        <w:rPr>
          <w:rFonts w:ascii="Verdana" w:hAnsi="Verdana"/>
          <w:b/>
        </w:rPr>
        <w:t xml:space="preserve"> = </w:t>
      </w:r>
      <w:r w:rsidR="00761314">
        <w:rPr>
          <w:rFonts w:ascii="Verdana" w:hAnsi="Verdana"/>
          <w:b/>
        </w:rPr>
        <w:t>8 830</w:t>
      </w:r>
      <w:r w:rsidR="004D2CE8" w:rsidRPr="004D2CE8">
        <w:rPr>
          <w:rFonts w:ascii="Verdana" w:hAnsi="Verdana"/>
          <w:b/>
        </w:rPr>
        <w:t xml:space="preserve"> € </w:t>
      </w:r>
      <w:r w:rsidR="004D2CE8">
        <w:rPr>
          <w:rFonts w:ascii="Verdana" w:hAnsi="Verdana"/>
        </w:rPr>
        <w:tab/>
        <w:t>(201</w:t>
      </w:r>
      <w:r w:rsidR="00761314">
        <w:rPr>
          <w:rFonts w:ascii="Verdana" w:hAnsi="Verdana"/>
        </w:rPr>
        <w:t>8</w:t>
      </w:r>
      <w:r w:rsidR="004D2CE8">
        <w:rPr>
          <w:rFonts w:ascii="Verdana" w:hAnsi="Verdana"/>
        </w:rPr>
        <w:t xml:space="preserve"> </w:t>
      </w:r>
      <w:r>
        <w:rPr>
          <w:rFonts w:ascii="Verdana" w:hAnsi="Verdana"/>
        </w:rPr>
        <w:t xml:space="preserve">= </w:t>
      </w:r>
      <w:r w:rsidR="00761314">
        <w:rPr>
          <w:rFonts w:ascii="Verdana" w:hAnsi="Verdana"/>
        </w:rPr>
        <w:t>16 722</w:t>
      </w:r>
      <w:r w:rsidRPr="004D2CE8">
        <w:rPr>
          <w:rFonts w:ascii="Verdana" w:hAnsi="Verdana"/>
        </w:rPr>
        <w:t xml:space="preserve"> €</w:t>
      </w:r>
      <w:r w:rsidR="004D2CE8" w:rsidRPr="004D2CE8">
        <w:rPr>
          <w:rFonts w:ascii="Verdana" w:hAnsi="Verdana"/>
        </w:rPr>
        <w:t>)</w:t>
      </w:r>
      <w:r w:rsidR="004D2CE8">
        <w:rPr>
          <w:rFonts w:ascii="Verdana" w:hAnsi="Verdana"/>
        </w:rPr>
        <w:t xml:space="preserve"> </w:t>
      </w:r>
    </w:p>
    <w:p w14:paraId="3645ECBB" w14:textId="0B7CF545" w:rsidR="004D2CE8" w:rsidRDefault="004D2CE8" w:rsidP="004D2CE8">
      <w:pPr>
        <w:pStyle w:val="ListParagraph"/>
        <w:numPr>
          <w:ilvl w:val="0"/>
          <w:numId w:val="3"/>
        </w:numPr>
        <w:ind w:right="-567"/>
        <w:jc w:val="both"/>
        <w:rPr>
          <w:rFonts w:ascii="Verdana" w:hAnsi="Verdana"/>
        </w:rPr>
      </w:pPr>
      <w:r w:rsidRPr="004D2CE8">
        <w:rPr>
          <w:rFonts w:ascii="Verdana" w:hAnsi="Verdana"/>
        </w:rPr>
        <w:t xml:space="preserve">Frais d’études </w:t>
      </w:r>
      <w:r w:rsidR="00761314">
        <w:rPr>
          <w:rFonts w:ascii="Verdana" w:hAnsi="Verdana"/>
        </w:rPr>
        <w:t>réhabilitation</w:t>
      </w:r>
      <w:r>
        <w:rPr>
          <w:rFonts w:ascii="Verdana" w:hAnsi="Verdana"/>
        </w:rPr>
        <w:tab/>
      </w:r>
      <w:r w:rsidRPr="004D2CE8">
        <w:rPr>
          <w:rFonts w:ascii="Verdana" w:hAnsi="Verdana"/>
        </w:rPr>
        <w:t xml:space="preserve">= </w:t>
      </w:r>
      <w:r w:rsidR="00761314">
        <w:rPr>
          <w:rFonts w:ascii="Verdana" w:hAnsi="Verdana"/>
        </w:rPr>
        <w:t xml:space="preserve">  5 830</w:t>
      </w:r>
      <w:r w:rsidRPr="004D2CE8">
        <w:rPr>
          <w:rFonts w:ascii="Verdana" w:hAnsi="Verdana"/>
        </w:rPr>
        <w:t xml:space="preserve"> €</w:t>
      </w:r>
    </w:p>
    <w:p w14:paraId="53DA0552" w14:textId="2740684B" w:rsidR="00761314" w:rsidRDefault="00761314" w:rsidP="004D2CE8">
      <w:pPr>
        <w:pStyle w:val="ListParagraph"/>
        <w:numPr>
          <w:ilvl w:val="0"/>
          <w:numId w:val="3"/>
        </w:numPr>
        <w:ind w:right="-567"/>
        <w:jc w:val="both"/>
        <w:rPr>
          <w:rFonts w:ascii="Verdana" w:hAnsi="Verdana"/>
        </w:rPr>
      </w:pPr>
      <w:r>
        <w:rPr>
          <w:rFonts w:ascii="Verdana" w:hAnsi="Verdana"/>
        </w:rPr>
        <w:t>Frais d’annonce</w:t>
      </w:r>
      <w:r>
        <w:rPr>
          <w:rFonts w:ascii="Verdana" w:hAnsi="Verdana"/>
        </w:rPr>
        <w:tab/>
      </w:r>
      <w:r>
        <w:rPr>
          <w:rFonts w:ascii="Verdana" w:hAnsi="Verdana"/>
        </w:rPr>
        <w:tab/>
      </w:r>
      <w:r>
        <w:rPr>
          <w:rFonts w:ascii="Verdana" w:hAnsi="Verdana"/>
        </w:rPr>
        <w:tab/>
        <w:t>=   1 570 €</w:t>
      </w:r>
    </w:p>
    <w:p w14:paraId="6CEDD950" w14:textId="18125EA3" w:rsidR="00761314" w:rsidRDefault="00761314" w:rsidP="004D2CE8">
      <w:pPr>
        <w:pStyle w:val="ListParagraph"/>
        <w:numPr>
          <w:ilvl w:val="0"/>
          <w:numId w:val="3"/>
        </w:numPr>
        <w:ind w:right="-567"/>
        <w:jc w:val="both"/>
        <w:rPr>
          <w:rFonts w:ascii="Verdana" w:hAnsi="Verdana"/>
        </w:rPr>
      </w:pPr>
      <w:r>
        <w:rPr>
          <w:rFonts w:ascii="Verdana" w:hAnsi="Verdana"/>
        </w:rPr>
        <w:t xml:space="preserve">Plans d’évacuation </w:t>
      </w:r>
      <w:r>
        <w:rPr>
          <w:rFonts w:ascii="Verdana" w:hAnsi="Verdana"/>
        </w:rPr>
        <w:tab/>
      </w:r>
      <w:r>
        <w:rPr>
          <w:rFonts w:ascii="Verdana" w:hAnsi="Verdana"/>
        </w:rPr>
        <w:tab/>
        <w:t>=   1 100 €</w:t>
      </w:r>
    </w:p>
    <w:p w14:paraId="13C55CDF" w14:textId="49082596" w:rsidR="00761314" w:rsidRDefault="00761314" w:rsidP="004D2CE8">
      <w:pPr>
        <w:pStyle w:val="ListParagraph"/>
        <w:numPr>
          <w:ilvl w:val="0"/>
          <w:numId w:val="3"/>
        </w:numPr>
        <w:ind w:right="-567"/>
        <w:jc w:val="both"/>
        <w:rPr>
          <w:rFonts w:ascii="Verdana" w:hAnsi="Verdana"/>
        </w:rPr>
      </w:pPr>
      <w:r>
        <w:rPr>
          <w:rFonts w:ascii="Verdana" w:hAnsi="Verdana"/>
        </w:rPr>
        <w:t xml:space="preserve">Chariot </w:t>
      </w:r>
      <w:r>
        <w:rPr>
          <w:rFonts w:ascii="Verdana" w:hAnsi="Verdana"/>
        </w:rPr>
        <w:tab/>
      </w:r>
      <w:r>
        <w:rPr>
          <w:rFonts w:ascii="Verdana" w:hAnsi="Verdana"/>
        </w:rPr>
        <w:tab/>
      </w:r>
      <w:r>
        <w:rPr>
          <w:rFonts w:ascii="Verdana" w:hAnsi="Verdana"/>
        </w:rPr>
        <w:tab/>
      </w:r>
      <w:r>
        <w:rPr>
          <w:rFonts w:ascii="Verdana" w:hAnsi="Verdana"/>
        </w:rPr>
        <w:tab/>
        <w:t>=      330 €</w:t>
      </w:r>
    </w:p>
    <w:p w14:paraId="6C2305DB" w14:textId="77777777" w:rsidR="00614FBB" w:rsidRDefault="00614FBB" w:rsidP="00BA413B">
      <w:pPr>
        <w:ind w:left="568" w:right="-567" w:firstLine="708"/>
        <w:jc w:val="both"/>
        <w:rPr>
          <w:rFonts w:ascii="Verdana" w:hAnsi="Verdana"/>
        </w:rPr>
      </w:pPr>
    </w:p>
    <w:p w14:paraId="16A49F3E" w14:textId="195DDD91" w:rsidR="004D2CE8" w:rsidRDefault="00614FBB" w:rsidP="00614FBB">
      <w:pPr>
        <w:ind w:left="1276" w:right="-567"/>
        <w:jc w:val="both"/>
        <w:rPr>
          <w:rFonts w:ascii="Verdana" w:hAnsi="Verdana"/>
        </w:rPr>
      </w:pPr>
      <w:r w:rsidRPr="004D2CE8">
        <w:rPr>
          <w:rFonts w:ascii="Verdana" w:hAnsi="Verdana"/>
          <w:b/>
        </w:rPr>
        <w:t xml:space="preserve">Recettes réalisées </w:t>
      </w:r>
      <w:r w:rsidR="004D2CE8">
        <w:rPr>
          <w:rFonts w:ascii="Verdana" w:hAnsi="Verdana"/>
          <w:b/>
        </w:rPr>
        <w:t>201</w:t>
      </w:r>
      <w:r w:rsidR="00761314">
        <w:rPr>
          <w:rFonts w:ascii="Verdana" w:hAnsi="Verdana"/>
          <w:b/>
        </w:rPr>
        <w:t>9</w:t>
      </w:r>
      <w:r w:rsidR="004D2CE8">
        <w:rPr>
          <w:rFonts w:ascii="Verdana" w:hAnsi="Verdana"/>
          <w:b/>
        </w:rPr>
        <w:t xml:space="preserve"> = </w:t>
      </w:r>
      <w:r w:rsidR="00CA1FF8">
        <w:rPr>
          <w:rFonts w:ascii="Verdana" w:hAnsi="Verdana"/>
          <w:b/>
        </w:rPr>
        <w:t>4 902 €</w:t>
      </w:r>
      <w:r w:rsidR="004D2CE8">
        <w:rPr>
          <w:rFonts w:ascii="Verdana" w:hAnsi="Verdana"/>
        </w:rPr>
        <w:t xml:space="preserve"> </w:t>
      </w:r>
      <w:r w:rsidR="004D2CE8">
        <w:rPr>
          <w:rFonts w:ascii="Verdana" w:hAnsi="Verdana"/>
        </w:rPr>
        <w:tab/>
        <w:t xml:space="preserve"> (201</w:t>
      </w:r>
      <w:r w:rsidR="00761314">
        <w:rPr>
          <w:rFonts w:ascii="Verdana" w:hAnsi="Verdana"/>
        </w:rPr>
        <w:t>8</w:t>
      </w:r>
      <w:r w:rsidR="004D2CE8">
        <w:rPr>
          <w:rFonts w:ascii="Verdana" w:hAnsi="Verdana"/>
        </w:rPr>
        <w:t xml:space="preserve"> = </w:t>
      </w:r>
      <w:r w:rsidR="00761314">
        <w:rPr>
          <w:rFonts w:ascii="Verdana" w:hAnsi="Verdana"/>
        </w:rPr>
        <w:t>22 819</w:t>
      </w:r>
      <w:r>
        <w:rPr>
          <w:rFonts w:ascii="Verdana" w:hAnsi="Verdana"/>
        </w:rPr>
        <w:t xml:space="preserve"> €</w:t>
      </w:r>
      <w:r w:rsidR="004D2CE8">
        <w:rPr>
          <w:rFonts w:ascii="Verdana" w:hAnsi="Verdana"/>
        </w:rPr>
        <w:t>)</w:t>
      </w:r>
    </w:p>
    <w:p w14:paraId="28D1DE1F" w14:textId="6851BC59" w:rsidR="004D2CE8" w:rsidRDefault="004D2CE8" w:rsidP="004D2CE8">
      <w:pPr>
        <w:pStyle w:val="ListParagraph"/>
        <w:numPr>
          <w:ilvl w:val="0"/>
          <w:numId w:val="3"/>
        </w:numPr>
        <w:ind w:right="-567"/>
        <w:jc w:val="both"/>
        <w:rPr>
          <w:rFonts w:ascii="Verdana" w:hAnsi="Verdana"/>
        </w:rPr>
      </w:pPr>
      <w:r>
        <w:rPr>
          <w:rFonts w:ascii="Verdana" w:hAnsi="Verdana"/>
        </w:rPr>
        <w:t xml:space="preserve">FCTVA </w:t>
      </w:r>
      <w:r w:rsidR="00761314">
        <w:rPr>
          <w:rFonts w:ascii="Verdana" w:hAnsi="Verdana"/>
        </w:rPr>
        <w:tab/>
      </w:r>
      <w:r w:rsidR="00761314">
        <w:rPr>
          <w:rFonts w:ascii="Verdana" w:hAnsi="Verdana"/>
        </w:rPr>
        <w:tab/>
      </w:r>
      <w:r w:rsidR="00761314">
        <w:rPr>
          <w:rFonts w:ascii="Verdana" w:hAnsi="Verdana"/>
        </w:rPr>
        <w:tab/>
      </w:r>
      <w:r w:rsidR="00761314">
        <w:rPr>
          <w:rFonts w:ascii="Verdana" w:hAnsi="Verdana"/>
        </w:rPr>
        <w:tab/>
      </w:r>
      <w:r w:rsidR="00761314">
        <w:rPr>
          <w:rFonts w:ascii="Verdana" w:hAnsi="Verdana"/>
        </w:rPr>
        <w:tab/>
      </w:r>
      <w:r>
        <w:rPr>
          <w:rFonts w:ascii="Verdana" w:hAnsi="Verdana"/>
        </w:rPr>
        <w:t xml:space="preserve">= </w:t>
      </w:r>
      <w:r w:rsidR="00CA1FF8">
        <w:rPr>
          <w:rFonts w:ascii="Verdana" w:hAnsi="Verdana"/>
        </w:rPr>
        <w:t xml:space="preserve">  </w:t>
      </w:r>
      <w:r w:rsidR="00761314">
        <w:rPr>
          <w:rFonts w:ascii="Verdana" w:hAnsi="Verdana"/>
        </w:rPr>
        <w:t>4 902</w:t>
      </w:r>
      <w:r>
        <w:rPr>
          <w:rFonts w:ascii="Verdana" w:hAnsi="Verdana"/>
        </w:rPr>
        <w:t xml:space="preserve"> €</w:t>
      </w:r>
    </w:p>
    <w:p w14:paraId="22B39340" w14:textId="0C11181E" w:rsidR="00B84E5A" w:rsidRDefault="00B84E5A" w:rsidP="00B84E5A">
      <w:pPr>
        <w:ind w:right="-567"/>
        <w:jc w:val="both"/>
        <w:rPr>
          <w:rFonts w:ascii="Verdana" w:hAnsi="Verdana"/>
        </w:rPr>
      </w:pPr>
    </w:p>
    <w:p w14:paraId="06D6FD69" w14:textId="4DD3DB72" w:rsidR="00B84E5A" w:rsidRDefault="00B84E5A" w:rsidP="00B84E5A">
      <w:pPr>
        <w:ind w:left="1276" w:right="-567"/>
        <w:rPr>
          <w:rFonts w:ascii="Verdana" w:hAnsi="Verdana"/>
          <w:b/>
          <w:bCs/>
        </w:rPr>
      </w:pPr>
      <w:r>
        <w:rPr>
          <w:rFonts w:ascii="Verdana" w:hAnsi="Verdana"/>
          <w:b/>
          <w:bCs/>
        </w:rPr>
        <w:t>Le résultat du compte administratif 2019 en Investissement est le suivant :</w:t>
      </w:r>
    </w:p>
    <w:p w14:paraId="12D4CACC" w14:textId="79F3A1B7" w:rsidR="00B84E5A" w:rsidRDefault="00B84E5A" w:rsidP="00B84E5A">
      <w:pPr>
        <w:pStyle w:val="NoSpacing"/>
        <w:ind w:left="568" w:firstLine="708"/>
        <w:rPr>
          <w:rFonts w:ascii="Verdana" w:hAnsi="Verdana"/>
        </w:rPr>
      </w:pPr>
      <w:r w:rsidRPr="00B84E5A">
        <w:rPr>
          <w:rFonts w:ascii="Verdana" w:hAnsi="Verdana"/>
        </w:rPr>
        <w:t xml:space="preserve">Résultat de clôture 2018 </w:t>
      </w:r>
      <w:r>
        <w:rPr>
          <w:rFonts w:ascii="Verdana" w:hAnsi="Verdana"/>
        </w:rPr>
        <w:tab/>
      </w:r>
      <w:r>
        <w:rPr>
          <w:rFonts w:ascii="Verdana" w:hAnsi="Verdana"/>
        </w:rPr>
        <w:tab/>
      </w:r>
      <w:r>
        <w:rPr>
          <w:rFonts w:ascii="Verdana" w:hAnsi="Verdana"/>
        </w:rPr>
        <w:tab/>
      </w:r>
      <w:r w:rsidRPr="00B84E5A">
        <w:rPr>
          <w:rFonts w:ascii="Verdana" w:hAnsi="Verdana"/>
        </w:rPr>
        <w:t xml:space="preserve">= </w:t>
      </w:r>
      <w:r>
        <w:rPr>
          <w:rFonts w:ascii="Verdana" w:hAnsi="Verdana"/>
        </w:rPr>
        <w:t xml:space="preserve">  </w:t>
      </w:r>
      <w:r w:rsidRPr="00B84E5A">
        <w:rPr>
          <w:rFonts w:ascii="Verdana" w:hAnsi="Verdana"/>
        </w:rPr>
        <w:t>89 543 €</w:t>
      </w:r>
    </w:p>
    <w:p w14:paraId="31C5FF9F" w14:textId="6C12C940" w:rsidR="00B84E5A" w:rsidRDefault="00B84E5A" w:rsidP="00B84E5A">
      <w:pPr>
        <w:pStyle w:val="NoSpacing"/>
        <w:ind w:left="568" w:firstLine="708"/>
        <w:rPr>
          <w:rFonts w:ascii="Verdana" w:hAnsi="Verdana"/>
        </w:rPr>
      </w:pPr>
      <w:r>
        <w:rPr>
          <w:rFonts w:ascii="Verdana" w:hAnsi="Verdana"/>
        </w:rPr>
        <w:t xml:space="preserve">Résultat de l’exercice 2019 </w:t>
      </w:r>
      <w:r>
        <w:rPr>
          <w:rFonts w:ascii="Verdana" w:hAnsi="Verdana"/>
        </w:rPr>
        <w:tab/>
      </w:r>
      <w:r>
        <w:rPr>
          <w:rFonts w:ascii="Verdana" w:hAnsi="Verdana"/>
        </w:rPr>
        <w:tab/>
        <w:t>=   24 850 €</w:t>
      </w:r>
    </w:p>
    <w:p w14:paraId="477F2748" w14:textId="52B562E4" w:rsidR="00B84E5A" w:rsidRPr="00B84E5A" w:rsidRDefault="00B84E5A" w:rsidP="00B84E5A">
      <w:pPr>
        <w:pStyle w:val="NoSpacing"/>
        <w:ind w:left="568" w:firstLine="708"/>
        <w:rPr>
          <w:rFonts w:ascii="Verdana" w:hAnsi="Verdana"/>
        </w:rPr>
      </w:pPr>
      <w:r>
        <w:rPr>
          <w:rFonts w:ascii="Verdana" w:hAnsi="Verdana"/>
        </w:rPr>
        <w:t xml:space="preserve">Résultat définitif de clôture </w:t>
      </w:r>
      <w:r>
        <w:rPr>
          <w:rFonts w:ascii="Verdana" w:hAnsi="Verdana"/>
        </w:rPr>
        <w:tab/>
      </w:r>
      <w:r>
        <w:rPr>
          <w:rFonts w:ascii="Verdana" w:hAnsi="Verdana"/>
        </w:rPr>
        <w:tab/>
        <w:t>= 114 393 €</w:t>
      </w:r>
    </w:p>
    <w:p w14:paraId="24921A8E" w14:textId="77777777" w:rsidR="004D2CE8" w:rsidRDefault="004D2CE8" w:rsidP="004D2CE8">
      <w:pPr>
        <w:ind w:left="1440" w:right="-567"/>
        <w:jc w:val="both"/>
        <w:rPr>
          <w:rFonts w:ascii="Verdana" w:hAnsi="Verdana"/>
        </w:rPr>
      </w:pPr>
    </w:p>
    <w:p w14:paraId="00A51609" w14:textId="61DA1576" w:rsidR="00614FBB" w:rsidRDefault="00725AF0" w:rsidP="00B84E5A">
      <w:pPr>
        <w:ind w:left="1276" w:right="-567"/>
        <w:jc w:val="both"/>
        <w:rPr>
          <w:rFonts w:ascii="Verdana" w:hAnsi="Verdana"/>
        </w:rPr>
      </w:pPr>
      <w:r w:rsidRPr="00725AF0">
        <w:rPr>
          <w:rFonts w:ascii="Verdana" w:hAnsi="Verdana"/>
        </w:rPr>
        <w:t>Ce résultat reste conséquent et</w:t>
      </w:r>
      <w:r w:rsidR="00614FBB" w:rsidRPr="00725AF0">
        <w:rPr>
          <w:rFonts w:ascii="Verdana" w:hAnsi="Verdana"/>
        </w:rPr>
        <w:t xml:space="preserve"> permet d’assumer des investissements nécessaires si besoin</w:t>
      </w:r>
      <w:r w:rsidRPr="00725AF0">
        <w:rPr>
          <w:rFonts w:ascii="Verdana" w:hAnsi="Verdana"/>
        </w:rPr>
        <w:t>,</w:t>
      </w:r>
      <w:r>
        <w:rPr>
          <w:rFonts w:ascii="Verdana" w:hAnsi="Verdana"/>
        </w:rPr>
        <w:t xml:space="preserve"> notamment le renouvellement du matériel.</w:t>
      </w:r>
      <w:r w:rsidR="00CA1FF8">
        <w:rPr>
          <w:rFonts w:ascii="Verdana" w:hAnsi="Verdana"/>
        </w:rPr>
        <w:t xml:space="preserve"> Pour le chantier de réhabilitation le budget devra présenter un emprunt d’investissement.</w:t>
      </w:r>
    </w:p>
    <w:p w14:paraId="4FFBA2BF" w14:textId="77777777" w:rsidR="00B84E5A" w:rsidRDefault="00B84E5A" w:rsidP="00B84E5A">
      <w:pPr>
        <w:pStyle w:val="NoSpacing"/>
        <w:ind w:left="1276"/>
        <w:jc w:val="both"/>
        <w:rPr>
          <w:rFonts w:ascii="Verdana" w:hAnsi="Verdana"/>
        </w:rPr>
      </w:pPr>
      <w:r w:rsidRPr="005744E7">
        <w:rPr>
          <w:rFonts w:ascii="Verdana" w:hAnsi="Verdana"/>
        </w:rPr>
        <w:lastRenderedPageBreak/>
        <w:t xml:space="preserve">Le budget </w:t>
      </w:r>
      <w:r>
        <w:rPr>
          <w:rFonts w:ascii="Verdana" w:hAnsi="Verdana"/>
        </w:rPr>
        <w:t xml:space="preserve">du restaurant </w:t>
      </w:r>
      <w:r w:rsidRPr="005744E7">
        <w:rPr>
          <w:rFonts w:ascii="Verdana" w:hAnsi="Verdana"/>
        </w:rPr>
        <w:t xml:space="preserve">est </w:t>
      </w:r>
      <w:r>
        <w:rPr>
          <w:rFonts w:ascii="Verdana" w:hAnsi="Verdana"/>
        </w:rPr>
        <w:t xml:space="preserve">compliqué et </w:t>
      </w:r>
      <w:r w:rsidRPr="005744E7">
        <w:rPr>
          <w:rFonts w:ascii="Verdana" w:hAnsi="Verdana"/>
        </w:rPr>
        <w:t>assumé grâce aux résultats des a</w:t>
      </w:r>
      <w:r>
        <w:rPr>
          <w:rFonts w:ascii="Verdana" w:hAnsi="Verdana"/>
        </w:rPr>
        <w:t xml:space="preserve">nnées précédentes qui permettaient jusque-là un fonctionnement sans subvention municipale. </w:t>
      </w:r>
    </w:p>
    <w:p w14:paraId="15032A52" w14:textId="77777777" w:rsidR="00B84E5A" w:rsidRDefault="00B84E5A" w:rsidP="00B84E5A">
      <w:pPr>
        <w:pStyle w:val="NoSpacing"/>
        <w:ind w:left="1276"/>
        <w:jc w:val="both"/>
        <w:rPr>
          <w:rFonts w:ascii="Verdana" w:hAnsi="Verdana"/>
        </w:rPr>
      </w:pPr>
    </w:p>
    <w:p w14:paraId="2245D509" w14:textId="039F6570" w:rsidR="00B84E5A" w:rsidRDefault="00B84E5A" w:rsidP="00B84E5A">
      <w:pPr>
        <w:pStyle w:val="NoSpacing"/>
        <w:ind w:left="1276"/>
        <w:jc w:val="both"/>
        <w:rPr>
          <w:rFonts w:ascii="Verdana" w:hAnsi="Verdana"/>
        </w:rPr>
      </w:pPr>
      <w:r>
        <w:rPr>
          <w:rFonts w:ascii="Verdana" w:hAnsi="Verdana"/>
        </w:rPr>
        <w:t>Mais ce budget de fonctionnement prend en charge toutes les réparations du matériel de la cuisine centrale sans recettes propres autres que la régie et la redevance du titulaire du marché.</w:t>
      </w:r>
    </w:p>
    <w:p w14:paraId="538D4D01" w14:textId="77777777" w:rsidR="00B84E5A" w:rsidRDefault="00B84E5A" w:rsidP="00B84E5A">
      <w:pPr>
        <w:pStyle w:val="NoSpacing"/>
        <w:ind w:left="1276"/>
        <w:jc w:val="both"/>
        <w:rPr>
          <w:rFonts w:ascii="Verdana" w:hAnsi="Verdana"/>
        </w:rPr>
      </w:pPr>
    </w:p>
    <w:p w14:paraId="3D781BF7" w14:textId="77777777" w:rsidR="00B84E5A" w:rsidRDefault="00B84E5A" w:rsidP="00B84E5A">
      <w:pPr>
        <w:pStyle w:val="NoSpacing"/>
        <w:ind w:left="1276"/>
        <w:jc w:val="both"/>
        <w:rPr>
          <w:rFonts w:ascii="Verdana" w:hAnsi="Verdana"/>
        </w:rPr>
      </w:pPr>
      <w:r>
        <w:rPr>
          <w:rFonts w:ascii="Verdana" w:hAnsi="Verdana"/>
        </w:rPr>
        <w:t xml:space="preserve">D’autre part le bâtiment dans son ensemble appelle une profonde rénovation et une mise aux normes sous plusieurs aspects. </w:t>
      </w:r>
    </w:p>
    <w:p w14:paraId="7794EB58" w14:textId="77777777" w:rsidR="00B84E5A" w:rsidRDefault="00B84E5A" w:rsidP="00B84E5A">
      <w:pPr>
        <w:pStyle w:val="NoSpacing"/>
        <w:ind w:left="1276"/>
        <w:jc w:val="both"/>
        <w:rPr>
          <w:rFonts w:ascii="Verdana" w:hAnsi="Verdana"/>
        </w:rPr>
      </w:pPr>
    </w:p>
    <w:p w14:paraId="0241CFCD" w14:textId="77777777" w:rsidR="00B84E5A" w:rsidRDefault="00B84E5A" w:rsidP="00B84E5A">
      <w:pPr>
        <w:pStyle w:val="NoSpacing"/>
        <w:ind w:left="1276"/>
        <w:jc w:val="both"/>
        <w:rPr>
          <w:rFonts w:ascii="Verdana" w:hAnsi="Verdana"/>
        </w:rPr>
      </w:pPr>
      <w:r>
        <w:rPr>
          <w:rFonts w:ascii="Verdana" w:hAnsi="Verdana"/>
        </w:rPr>
        <w:t xml:space="preserve">Un premier chiffrage a été réalisé qui porterait à près de 800 000 € cette rénovation. Un tel budget n’est bien entendu réalisable que si les partenaires viennent co-financer les travaux. </w:t>
      </w:r>
    </w:p>
    <w:p w14:paraId="3ACD25A1" w14:textId="77777777" w:rsidR="00B84E5A" w:rsidRDefault="00B84E5A" w:rsidP="00B84E5A">
      <w:pPr>
        <w:pStyle w:val="NoSpacing"/>
        <w:ind w:left="1276"/>
        <w:jc w:val="both"/>
        <w:rPr>
          <w:rFonts w:ascii="Verdana" w:hAnsi="Verdana"/>
        </w:rPr>
      </w:pPr>
    </w:p>
    <w:p w14:paraId="6C0A75AF" w14:textId="31CDAF5C" w:rsidR="00B84E5A" w:rsidRDefault="00B84E5A" w:rsidP="00B84E5A">
      <w:pPr>
        <w:pStyle w:val="NoSpacing"/>
        <w:ind w:left="1276"/>
        <w:jc w:val="both"/>
        <w:rPr>
          <w:rFonts w:ascii="Verdana" w:hAnsi="Verdana"/>
        </w:rPr>
      </w:pPr>
      <w:r>
        <w:rPr>
          <w:rFonts w:ascii="Verdana" w:hAnsi="Verdana"/>
        </w:rPr>
        <w:t>Le Département qui représente 60% des repas produits (collège) s’est déjà engagé par un conventionnement en cours de rédaction finale, à financer 60% des travaux réalisés sur la cuisine centrale.</w:t>
      </w:r>
    </w:p>
    <w:p w14:paraId="584AF504" w14:textId="77777777" w:rsidR="004B705C" w:rsidRDefault="004B705C" w:rsidP="00BA413B">
      <w:pPr>
        <w:pStyle w:val="NoSpacing"/>
        <w:ind w:left="1276" w:right="-567"/>
        <w:jc w:val="both"/>
        <w:rPr>
          <w:rFonts w:ascii="Verdana" w:hAnsi="Verdana"/>
        </w:rPr>
      </w:pPr>
    </w:p>
    <w:p w14:paraId="4EA67890" w14:textId="77777777" w:rsidR="00EA126A" w:rsidRPr="00EA126A" w:rsidRDefault="00EA126A" w:rsidP="00BA413B">
      <w:pPr>
        <w:pStyle w:val="ListParagraph"/>
        <w:ind w:left="1636" w:right="-567"/>
        <w:jc w:val="both"/>
        <w:rPr>
          <w:rFonts w:ascii="Verdana" w:hAnsi="Verdana"/>
          <w:b/>
          <w:u w:val="single"/>
        </w:rPr>
      </w:pPr>
    </w:p>
    <w:p w14:paraId="45DC816E" w14:textId="77777777" w:rsidR="00B84E5A" w:rsidRDefault="00B84E5A" w:rsidP="00B84E5A">
      <w:pPr>
        <w:pStyle w:val="ListParagraph"/>
        <w:ind w:left="1636" w:right="-567"/>
        <w:jc w:val="both"/>
        <w:rPr>
          <w:rFonts w:ascii="Verdana" w:hAnsi="Verdana"/>
          <w:b/>
          <w:u w:val="single"/>
        </w:rPr>
      </w:pPr>
    </w:p>
    <w:p w14:paraId="636C1702" w14:textId="0CFDDA4B" w:rsidR="00EA126A" w:rsidRPr="00864CB3" w:rsidRDefault="009A1C31" w:rsidP="00864CB3">
      <w:pPr>
        <w:ind w:left="708" w:right="-567" w:firstLine="568"/>
        <w:jc w:val="both"/>
        <w:rPr>
          <w:rFonts w:ascii="Verdana" w:hAnsi="Verdana"/>
          <w:b/>
          <w:u w:val="single"/>
        </w:rPr>
      </w:pPr>
      <w:r w:rsidRPr="00864CB3">
        <w:rPr>
          <w:rFonts w:ascii="Verdana" w:hAnsi="Verdana"/>
          <w:b/>
          <w:u w:val="single"/>
        </w:rPr>
        <w:t>Orientations BP 20</w:t>
      </w:r>
      <w:r w:rsidR="00CA1FF8" w:rsidRPr="00864CB3">
        <w:rPr>
          <w:rFonts w:ascii="Verdana" w:hAnsi="Verdana"/>
          <w:b/>
          <w:u w:val="single"/>
        </w:rPr>
        <w:t>20</w:t>
      </w:r>
      <w:r w:rsidR="00EA126A" w:rsidRPr="00864CB3">
        <w:rPr>
          <w:rFonts w:ascii="Verdana" w:hAnsi="Verdana"/>
          <w:b/>
          <w:u w:val="single"/>
        </w:rPr>
        <w:t> :</w:t>
      </w:r>
    </w:p>
    <w:p w14:paraId="44BB9ABE" w14:textId="77777777" w:rsidR="00CB50A3" w:rsidRDefault="00725AF0" w:rsidP="00BA413B">
      <w:pPr>
        <w:spacing w:line="240" w:lineRule="auto"/>
        <w:ind w:left="1276" w:right="-567"/>
        <w:jc w:val="both"/>
        <w:rPr>
          <w:rFonts w:ascii="Verdana" w:hAnsi="Verdana"/>
        </w:rPr>
      </w:pPr>
      <w:r>
        <w:rPr>
          <w:rFonts w:ascii="Verdana" w:hAnsi="Verdana"/>
        </w:rPr>
        <w:t>Le budget de fonctionnement ne présente que peu de variations d’une année à l’autre. Il reste autour de 200 000 €.</w:t>
      </w:r>
    </w:p>
    <w:p w14:paraId="19C1BC48" w14:textId="77777777" w:rsidR="00864CB3" w:rsidRDefault="00864CB3" w:rsidP="00864CB3">
      <w:pPr>
        <w:pStyle w:val="NoSpacing"/>
        <w:rPr>
          <w:rFonts w:ascii="Verdana" w:hAnsi="Verdana"/>
        </w:rPr>
      </w:pPr>
    </w:p>
    <w:p w14:paraId="78F3C899" w14:textId="67CC0AA8" w:rsidR="00B84E5A" w:rsidRPr="00B84E5A" w:rsidRDefault="00725AF0" w:rsidP="00864CB3">
      <w:pPr>
        <w:pStyle w:val="NoSpacing"/>
        <w:ind w:left="568" w:firstLine="708"/>
        <w:rPr>
          <w:rFonts w:ascii="Verdana" w:hAnsi="Verdana"/>
        </w:rPr>
      </w:pPr>
      <w:r w:rsidRPr="00B84E5A">
        <w:rPr>
          <w:rFonts w:ascii="Verdana" w:hAnsi="Verdana"/>
        </w:rPr>
        <w:t>Le budget d’investissement est notre capacité d’autofinancement de</w:t>
      </w:r>
      <w:r w:rsidR="00B84E5A" w:rsidRPr="00B84E5A">
        <w:rPr>
          <w:rFonts w:ascii="Verdana" w:hAnsi="Verdana"/>
        </w:rPr>
        <w:t xml:space="preserve"> </w:t>
      </w:r>
    </w:p>
    <w:p w14:paraId="6C2C3DE4" w14:textId="3D17C47A" w:rsidR="009E7458" w:rsidRDefault="00B84E5A" w:rsidP="00B84E5A">
      <w:pPr>
        <w:pStyle w:val="NoSpacing"/>
        <w:ind w:left="568" w:firstLine="708"/>
        <w:rPr>
          <w:rFonts w:ascii="Verdana" w:hAnsi="Verdana"/>
        </w:rPr>
      </w:pPr>
      <w:r w:rsidRPr="00B84E5A">
        <w:rPr>
          <w:rFonts w:ascii="Verdana" w:hAnsi="Verdana"/>
        </w:rPr>
        <w:t>114 393</w:t>
      </w:r>
      <w:r w:rsidR="00725AF0" w:rsidRPr="00B84E5A">
        <w:rPr>
          <w:rFonts w:ascii="Verdana" w:hAnsi="Verdana"/>
        </w:rPr>
        <w:t xml:space="preserve"> €. </w:t>
      </w:r>
    </w:p>
    <w:p w14:paraId="53D944C6" w14:textId="77777777" w:rsidR="00B84E5A" w:rsidRPr="00B84E5A" w:rsidRDefault="00B84E5A" w:rsidP="00B84E5A">
      <w:pPr>
        <w:pStyle w:val="NoSpacing"/>
        <w:ind w:left="568" w:firstLine="708"/>
        <w:rPr>
          <w:rFonts w:ascii="Verdana" w:hAnsi="Verdana"/>
        </w:rPr>
      </w:pPr>
    </w:p>
    <w:p w14:paraId="784F4FFB" w14:textId="274DDEE4" w:rsidR="00725AF0" w:rsidRPr="006B0A84" w:rsidRDefault="00725AF0" w:rsidP="00BA413B">
      <w:pPr>
        <w:spacing w:line="240" w:lineRule="auto"/>
        <w:ind w:left="1276" w:right="-567"/>
        <w:jc w:val="both"/>
        <w:rPr>
          <w:rFonts w:ascii="Verdana" w:hAnsi="Verdana"/>
        </w:rPr>
      </w:pPr>
      <w:r>
        <w:rPr>
          <w:rFonts w:ascii="Verdana" w:hAnsi="Verdana"/>
        </w:rPr>
        <w:t xml:space="preserve">Reste à financer un éventuel programme de rénovation </w:t>
      </w:r>
      <w:r w:rsidR="009E7458">
        <w:rPr>
          <w:rFonts w:ascii="Verdana" w:hAnsi="Verdana"/>
        </w:rPr>
        <w:t xml:space="preserve">avec l’aide des partenaires </w:t>
      </w:r>
      <w:r w:rsidR="00CA1FF8">
        <w:rPr>
          <w:rFonts w:ascii="Verdana" w:hAnsi="Verdana"/>
        </w:rPr>
        <w:t>qui s’étalera sur 3 ans et ne démarrera vraisemblablement qu’en 2021, le temps de lancer les marchés de travaux après études.</w:t>
      </w:r>
    </w:p>
    <w:sectPr w:rsidR="00725AF0" w:rsidRPr="006B0A84" w:rsidSect="00FF00E3">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B64C" w14:textId="77777777" w:rsidR="00B12704" w:rsidRDefault="00B12704" w:rsidP="00186FAF">
      <w:pPr>
        <w:spacing w:after="0" w:line="240" w:lineRule="auto"/>
      </w:pPr>
      <w:r>
        <w:separator/>
      </w:r>
    </w:p>
  </w:endnote>
  <w:endnote w:type="continuationSeparator" w:id="0">
    <w:p w14:paraId="51C86B31" w14:textId="77777777" w:rsidR="00B12704" w:rsidRDefault="00B12704" w:rsidP="0018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408A" w14:textId="05F43222" w:rsidR="008A6FC1" w:rsidRDefault="008A6FC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Philippe POYET DGS le </w:t>
    </w:r>
    <w:r w:rsidR="00A85D5F">
      <w:rPr>
        <w:rFonts w:asciiTheme="majorHAnsi" w:eastAsiaTheme="majorEastAsia" w:hAnsiTheme="majorHAnsi" w:cstheme="majorBidi"/>
      </w:rPr>
      <w:t>07 février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1A0456" w:rsidRPr="001A0456">
      <w:rPr>
        <w:rFonts w:asciiTheme="majorHAnsi" w:eastAsiaTheme="majorEastAsia" w:hAnsiTheme="majorHAnsi" w:cstheme="majorBidi"/>
        <w:noProof/>
      </w:rPr>
      <w:t>14</w:t>
    </w:r>
    <w:r>
      <w:rPr>
        <w:rFonts w:asciiTheme="majorHAnsi" w:eastAsiaTheme="majorEastAsia" w:hAnsiTheme="majorHAnsi" w:cstheme="majorBidi"/>
      </w:rPr>
      <w:fldChar w:fldCharType="end"/>
    </w:r>
  </w:p>
  <w:p w14:paraId="55779F0F" w14:textId="77777777" w:rsidR="008A6FC1" w:rsidRDefault="008A6F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EAD1D" w14:textId="77777777" w:rsidR="00B12704" w:rsidRDefault="00B12704" w:rsidP="00186FAF">
      <w:pPr>
        <w:spacing w:after="0" w:line="240" w:lineRule="auto"/>
      </w:pPr>
      <w:r>
        <w:separator/>
      </w:r>
    </w:p>
  </w:footnote>
  <w:footnote w:type="continuationSeparator" w:id="0">
    <w:p w14:paraId="4CD1CBFB" w14:textId="77777777" w:rsidR="00B12704" w:rsidRDefault="00B12704" w:rsidP="00186F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820"/>
    <w:multiLevelType w:val="hybridMultilevel"/>
    <w:tmpl w:val="22B8366C"/>
    <w:lvl w:ilvl="0" w:tplc="407E9254">
      <w:numFmt w:val="bullet"/>
      <w:lvlText w:val="-"/>
      <w:lvlJc w:val="left"/>
      <w:pPr>
        <w:ind w:left="1515" w:hanging="360"/>
      </w:pPr>
      <w:rPr>
        <w:rFonts w:ascii="Verdana" w:eastAsiaTheme="minorHAnsi" w:hAnsi="Verdana" w:cstheme="minorBidi"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
    <w:nsid w:val="0BC41214"/>
    <w:multiLevelType w:val="hybridMultilevel"/>
    <w:tmpl w:val="8784626E"/>
    <w:lvl w:ilvl="0" w:tplc="A5041BDE">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
    <w:nsid w:val="138E7401"/>
    <w:multiLevelType w:val="hybridMultilevel"/>
    <w:tmpl w:val="19CABBEE"/>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3">
    <w:nsid w:val="30E6224D"/>
    <w:multiLevelType w:val="hybridMultilevel"/>
    <w:tmpl w:val="5EAC816E"/>
    <w:lvl w:ilvl="0" w:tplc="CD8AB37A">
      <w:start w:val="1"/>
      <w:numFmt w:val="upperRoman"/>
      <w:lvlText w:val="%1-"/>
      <w:lvlJc w:val="left"/>
      <w:pPr>
        <w:ind w:left="1429"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395C56"/>
    <w:multiLevelType w:val="hybridMultilevel"/>
    <w:tmpl w:val="B6487430"/>
    <w:lvl w:ilvl="0" w:tplc="672C7608">
      <w:start w:val="1"/>
      <w:numFmt w:val="decimal"/>
      <w:lvlText w:val="%1-"/>
      <w:lvlJc w:val="left"/>
      <w:pPr>
        <w:ind w:left="1506" w:hanging="360"/>
      </w:pPr>
      <w:rPr>
        <w:rFonts w:hint="default"/>
        <w:b/>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5">
    <w:nsid w:val="39971870"/>
    <w:multiLevelType w:val="hybridMultilevel"/>
    <w:tmpl w:val="9102A338"/>
    <w:lvl w:ilvl="0" w:tplc="85940E28">
      <w:numFmt w:val="bullet"/>
      <w:lvlText w:val="-"/>
      <w:lvlJc w:val="left"/>
      <w:pPr>
        <w:ind w:left="1068" w:hanging="360"/>
      </w:pPr>
      <w:rPr>
        <w:rFonts w:ascii="Verdana" w:eastAsiaTheme="minorHAnsi" w:hAnsi="Verdana"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EC144E6"/>
    <w:multiLevelType w:val="hybridMultilevel"/>
    <w:tmpl w:val="13A0539E"/>
    <w:lvl w:ilvl="0" w:tplc="D2BC32E0">
      <w:start w:val="1"/>
      <w:numFmt w:val="decimal"/>
      <w:lvlText w:val="%1-"/>
      <w:lvlJc w:val="left"/>
      <w:pPr>
        <w:ind w:left="1636" w:hanging="360"/>
      </w:pPr>
      <w:rPr>
        <w:rFonts w:hint="default"/>
        <w:b w:val="0"/>
        <w:u w:val="none"/>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7">
    <w:nsid w:val="404314D6"/>
    <w:multiLevelType w:val="hybridMultilevel"/>
    <w:tmpl w:val="10E21CFC"/>
    <w:lvl w:ilvl="0" w:tplc="157CA936">
      <w:numFmt w:val="bullet"/>
      <w:lvlText w:val="-"/>
      <w:lvlJc w:val="left"/>
      <w:pPr>
        <w:ind w:left="1211" w:hanging="360"/>
      </w:pPr>
      <w:rPr>
        <w:rFonts w:ascii="Verdana" w:eastAsiaTheme="minorHAnsi" w:hAnsi="Verdana"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409E2332"/>
    <w:multiLevelType w:val="hybridMultilevel"/>
    <w:tmpl w:val="7FDED948"/>
    <w:lvl w:ilvl="0" w:tplc="1D9A078A">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9">
    <w:nsid w:val="5B62153C"/>
    <w:multiLevelType w:val="hybridMultilevel"/>
    <w:tmpl w:val="D13A4508"/>
    <w:lvl w:ilvl="0" w:tplc="DF520AE8">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941B83"/>
    <w:multiLevelType w:val="hybridMultilevel"/>
    <w:tmpl w:val="8C563C9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685A096F"/>
    <w:multiLevelType w:val="hybridMultilevel"/>
    <w:tmpl w:val="81A4FA24"/>
    <w:lvl w:ilvl="0" w:tplc="8D683C08">
      <w:start w:val="7"/>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6AD826B2"/>
    <w:multiLevelType w:val="hybridMultilevel"/>
    <w:tmpl w:val="D7E2B558"/>
    <w:lvl w:ilvl="0" w:tplc="D9DED2A6">
      <w:start w:val="2"/>
      <w:numFmt w:val="bullet"/>
      <w:lvlText w:val="-"/>
      <w:lvlJc w:val="left"/>
      <w:pPr>
        <w:ind w:left="1440" w:hanging="360"/>
      </w:pPr>
      <w:rPr>
        <w:rFonts w:ascii="Verdana" w:eastAsiaTheme="minorHAnsi"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4"/>
  </w:num>
  <w:num w:numId="6">
    <w:abstractNumId w:val="0"/>
  </w:num>
  <w:num w:numId="7">
    <w:abstractNumId w:val="8"/>
  </w:num>
  <w:num w:numId="8">
    <w:abstractNumId w:val="2"/>
  </w:num>
  <w:num w:numId="9">
    <w:abstractNumId w:val="6"/>
  </w:num>
  <w:num w:numId="10">
    <w:abstractNumId w:val="1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C9"/>
    <w:rsid w:val="00000A77"/>
    <w:rsid w:val="00002F19"/>
    <w:rsid w:val="0001663D"/>
    <w:rsid w:val="00024F00"/>
    <w:rsid w:val="00030B8C"/>
    <w:rsid w:val="00040C85"/>
    <w:rsid w:val="00044D7A"/>
    <w:rsid w:val="00045263"/>
    <w:rsid w:val="0004673C"/>
    <w:rsid w:val="000732C1"/>
    <w:rsid w:val="000912F3"/>
    <w:rsid w:val="0009197D"/>
    <w:rsid w:val="00093349"/>
    <w:rsid w:val="000A5FC7"/>
    <w:rsid w:val="000C2825"/>
    <w:rsid w:val="000C518E"/>
    <w:rsid w:val="000C6D72"/>
    <w:rsid w:val="000E0BAC"/>
    <w:rsid w:val="000E54CF"/>
    <w:rsid w:val="000F3424"/>
    <w:rsid w:val="000F3A97"/>
    <w:rsid w:val="000F5E01"/>
    <w:rsid w:val="001053B6"/>
    <w:rsid w:val="00107AE7"/>
    <w:rsid w:val="00107AFF"/>
    <w:rsid w:val="001273AA"/>
    <w:rsid w:val="00127B5C"/>
    <w:rsid w:val="001327CF"/>
    <w:rsid w:val="00136A24"/>
    <w:rsid w:val="00136C6D"/>
    <w:rsid w:val="00160820"/>
    <w:rsid w:val="00162504"/>
    <w:rsid w:val="00174CA4"/>
    <w:rsid w:val="00186FAF"/>
    <w:rsid w:val="001956E6"/>
    <w:rsid w:val="00196C4B"/>
    <w:rsid w:val="001A0456"/>
    <w:rsid w:val="001A1E49"/>
    <w:rsid w:val="001B753B"/>
    <w:rsid w:val="002024BA"/>
    <w:rsid w:val="00206488"/>
    <w:rsid w:val="00216728"/>
    <w:rsid w:val="002237A4"/>
    <w:rsid w:val="00227331"/>
    <w:rsid w:val="002316CA"/>
    <w:rsid w:val="002524CC"/>
    <w:rsid w:val="00255847"/>
    <w:rsid w:val="00261FB3"/>
    <w:rsid w:val="00262D4F"/>
    <w:rsid w:val="00264D45"/>
    <w:rsid w:val="00275F5A"/>
    <w:rsid w:val="00284AFD"/>
    <w:rsid w:val="0028539E"/>
    <w:rsid w:val="00290D10"/>
    <w:rsid w:val="002B216B"/>
    <w:rsid w:val="002B2424"/>
    <w:rsid w:val="002C43E9"/>
    <w:rsid w:val="002C6170"/>
    <w:rsid w:val="002D3A91"/>
    <w:rsid w:val="003125B5"/>
    <w:rsid w:val="00314473"/>
    <w:rsid w:val="00323E4A"/>
    <w:rsid w:val="00347AD6"/>
    <w:rsid w:val="00365812"/>
    <w:rsid w:val="00383B27"/>
    <w:rsid w:val="0038480A"/>
    <w:rsid w:val="003C3C67"/>
    <w:rsid w:val="003C5770"/>
    <w:rsid w:val="003C5D1B"/>
    <w:rsid w:val="003D1D01"/>
    <w:rsid w:val="00412548"/>
    <w:rsid w:val="00412B52"/>
    <w:rsid w:val="00416D29"/>
    <w:rsid w:val="00417D96"/>
    <w:rsid w:val="00417F07"/>
    <w:rsid w:val="0042718A"/>
    <w:rsid w:val="00432C13"/>
    <w:rsid w:val="00435995"/>
    <w:rsid w:val="00437D8E"/>
    <w:rsid w:val="00441D75"/>
    <w:rsid w:val="0046277E"/>
    <w:rsid w:val="00467A99"/>
    <w:rsid w:val="00473251"/>
    <w:rsid w:val="004917DA"/>
    <w:rsid w:val="0049701B"/>
    <w:rsid w:val="004B3414"/>
    <w:rsid w:val="004B5C05"/>
    <w:rsid w:val="004B705C"/>
    <w:rsid w:val="004D2788"/>
    <w:rsid w:val="004D2CE8"/>
    <w:rsid w:val="004F0BB8"/>
    <w:rsid w:val="0051440B"/>
    <w:rsid w:val="0052003F"/>
    <w:rsid w:val="005265F1"/>
    <w:rsid w:val="00527B47"/>
    <w:rsid w:val="00531384"/>
    <w:rsid w:val="00531736"/>
    <w:rsid w:val="00535BCB"/>
    <w:rsid w:val="00535EBD"/>
    <w:rsid w:val="005419DA"/>
    <w:rsid w:val="00545550"/>
    <w:rsid w:val="0054571F"/>
    <w:rsid w:val="00546C5E"/>
    <w:rsid w:val="00552439"/>
    <w:rsid w:val="00554DD7"/>
    <w:rsid w:val="00557727"/>
    <w:rsid w:val="005744E7"/>
    <w:rsid w:val="00581EDE"/>
    <w:rsid w:val="005B5705"/>
    <w:rsid w:val="005D244D"/>
    <w:rsid w:val="00614FBB"/>
    <w:rsid w:val="00622D8B"/>
    <w:rsid w:val="006231C7"/>
    <w:rsid w:val="00627504"/>
    <w:rsid w:val="00635C3E"/>
    <w:rsid w:val="006378F4"/>
    <w:rsid w:val="00656C29"/>
    <w:rsid w:val="00657E77"/>
    <w:rsid w:val="00661D9E"/>
    <w:rsid w:val="0067410E"/>
    <w:rsid w:val="00681901"/>
    <w:rsid w:val="00681CAE"/>
    <w:rsid w:val="00690713"/>
    <w:rsid w:val="00694553"/>
    <w:rsid w:val="006A0285"/>
    <w:rsid w:val="006B0A84"/>
    <w:rsid w:val="006B1CDD"/>
    <w:rsid w:val="006C54B8"/>
    <w:rsid w:val="006D4562"/>
    <w:rsid w:val="006D52C4"/>
    <w:rsid w:val="00702F72"/>
    <w:rsid w:val="00705232"/>
    <w:rsid w:val="00707B7F"/>
    <w:rsid w:val="007131DF"/>
    <w:rsid w:val="00716418"/>
    <w:rsid w:val="007165F2"/>
    <w:rsid w:val="00721EE6"/>
    <w:rsid w:val="00725AF0"/>
    <w:rsid w:val="0074239A"/>
    <w:rsid w:val="0074239F"/>
    <w:rsid w:val="00753434"/>
    <w:rsid w:val="00761314"/>
    <w:rsid w:val="0076148D"/>
    <w:rsid w:val="00775D64"/>
    <w:rsid w:val="00791F5C"/>
    <w:rsid w:val="007A2E05"/>
    <w:rsid w:val="007B4C2C"/>
    <w:rsid w:val="007C6650"/>
    <w:rsid w:val="007C7E30"/>
    <w:rsid w:val="007F7715"/>
    <w:rsid w:val="008059EE"/>
    <w:rsid w:val="00811EDF"/>
    <w:rsid w:val="0081334A"/>
    <w:rsid w:val="008206CA"/>
    <w:rsid w:val="0083292E"/>
    <w:rsid w:val="00841068"/>
    <w:rsid w:val="00845FBA"/>
    <w:rsid w:val="008531C3"/>
    <w:rsid w:val="00864B96"/>
    <w:rsid w:val="00864CB3"/>
    <w:rsid w:val="008A1409"/>
    <w:rsid w:val="008A6FC1"/>
    <w:rsid w:val="008D0292"/>
    <w:rsid w:val="008D1C14"/>
    <w:rsid w:val="008D3BAC"/>
    <w:rsid w:val="008E42D7"/>
    <w:rsid w:val="0090753A"/>
    <w:rsid w:val="009140D9"/>
    <w:rsid w:val="00923726"/>
    <w:rsid w:val="009242BB"/>
    <w:rsid w:val="009252B9"/>
    <w:rsid w:val="00932BB6"/>
    <w:rsid w:val="00944DB8"/>
    <w:rsid w:val="009625CA"/>
    <w:rsid w:val="009658F2"/>
    <w:rsid w:val="009739C2"/>
    <w:rsid w:val="00992A08"/>
    <w:rsid w:val="00993BFC"/>
    <w:rsid w:val="009A1C31"/>
    <w:rsid w:val="009B2911"/>
    <w:rsid w:val="009B41EC"/>
    <w:rsid w:val="009C41FA"/>
    <w:rsid w:val="009D1BC5"/>
    <w:rsid w:val="009E7458"/>
    <w:rsid w:val="00A2155B"/>
    <w:rsid w:val="00A30E4B"/>
    <w:rsid w:val="00A363EE"/>
    <w:rsid w:val="00A8142C"/>
    <w:rsid w:val="00A816B0"/>
    <w:rsid w:val="00A85D5F"/>
    <w:rsid w:val="00A87EEC"/>
    <w:rsid w:val="00A954E9"/>
    <w:rsid w:val="00AA029B"/>
    <w:rsid w:val="00AC372B"/>
    <w:rsid w:val="00AD5DB6"/>
    <w:rsid w:val="00AD71BF"/>
    <w:rsid w:val="00AE50C6"/>
    <w:rsid w:val="00AF3AF7"/>
    <w:rsid w:val="00B0479B"/>
    <w:rsid w:val="00B115E7"/>
    <w:rsid w:val="00B11B2F"/>
    <w:rsid w:val="00B12704"/>
    <w:rsid w:val="00B16C8B"/>
    <w:rsid w:val="00B211CA"/>
    <w:rsid w:val="00B30A5C"/>
    <w:rsid w:val="00B36D10"/>
    <w:rsid w:val="00B427C1"/>
    <w:rsid w:val="00B43F1F"/>
    <w:rsid w:val="00B528F1"/>
    <w:rsid w:val="00B55E78"/>
    <w:rsid w:val="00B5638B"/>
    <w:rsid w:val="00B56E14"/>
    <w:rsid w:val="00B57A14"/>
    <w:rsid w:val="00B6591C"/>
    <w:rsid w:val="00B82953"/>
    <w:rsid w:val="00B84E5A"/>
    <w:rsid w:val="00B85477"/>
    <w:rsid w:val="00BA261F"/>
    <w:rsid w:val="00BA413B"/>
    <w:rsid w:val="00BA61F2"/>
    <w:rsid w:val="00BB6C75"/>
    <w:rsid w:val="00BC1D32"/>
    <w:rsid w:val="00BC2DC1"/>
    <w:rsid w:val="00BD1381"/>
    <w:rsid w:val="00BD5013"/>
    <w:rsid w:val="00BD7AC4"/>
    <w:rsid w:val="00BE2137"/>
    <w:rsid w:val="00BE5126"/>
    <w:rsid w:val="00BE643A"/>
    <w:rsid w:val="00BE6716"/>
    <w:rsid w:val="00BF2BE9"/>
    <w:rsid w:val="00C01E8F"/>
    <w:rsid w:val="00C118F8"/>
    <w:rsid w:val="00C2486D"/>
    <w:rsid w:val="00C25484"/>
    <w:rsid w:val="00C373A1"/>
    <w:rsid w:val="00C40967"/>
    <w:rsid w:val="00C40FE3"/>
    <w:rsid w:val="00C436C0"/>
    <w:rsid w:val="00C43C04"/>
    <w:rsid w:val="00C4588F"/>
    <w:rsid w:val="00C73DDD"/>
    <w:rsid w:val="00CA1FF8"/>
    <w:rsid w:val="00CB50A3"/>
    <w:rsid w:val="00CD03C9"/>
    <w:rsid w:val="00CD4429"/>
    <w:rsid w:val="00CD7099"/>
    <w:rsid w:val="00CF67DB"/>
    <w:rsid w:val="00D013F8"/>
    <w:rsid w:val="00D14391"/>
    <w:rsid w:val="00D2331E"/>
    <w:rsid w:val="00D35C03"/>
    <w:rsid w:val="00D4031A"/>
    <w:rsid w:val="00D659AA"/>
    <w:rsid w:val="00D70D63"/>
    <w:rsid w:val="00D7324A"/>
    <w:rsid w:val="00D7457B"/>
    <w:rsid w:val="00D800F4"/>
    <w:rsid w:val="00D85753"/>
    <w:rsid w:val="00D92AB2"/>
    <w:rsid w:val="00D942DA"/>
    <w:rsid w:val="00DA2DA3"/>
    <w:rsid w:val="00DA5709"/>
    <w:rsid w:val="00DB3EE3"/>
    <w:rsid w:val="00DB75E2"/>
    <w:rsid w:val="00DC109B"/>
    <w:rsid w:val="00DC784A"/>
    <w:rsid w:val="00DD21D8"/>
    <w:rsid w:val="00DE7620"/>
    <w:rsid w:val="00E009E0"/>
    <w:rsid w:val="00E07970"/>
    <w:rsid w:val="00E12130"/>
    <w:rsid w:val="00E134B0"/>
    <w:rsid w:val="00E221C2"/>
    <w:rsid w:val="00E318E8"/>
    <w:rsid w:val="00E34F01"/>
    <w:rsid w:val="00E468D8"/>
    <w:rsid w:val="00E60847"/>
    <w:rsid w:val="00E95C72"/>
    <w:rsid w:val="00EA126A"/>
    <w:rsid w:val="00EA7B56"/>
    <w:rsid w:val="00EB2B43"/>
    <w:rsid w:val="00EB73EC"/>
    <w:rsid w:val="00EC094E"/>
    <w:rsid w:val="00EE372B"/>
    <w:rsid w:val="00F043E0"/>
    <w:rsid w:val="00F14A78"/>
    <w:rsid w:val="00F3560E"/>
    <w:rsid w:val="00F405A2"/>
    <w:rsid w:val="00F421C1"/>
    <w:rsid w:val="00F42253"/>
    <w:rsid w:val="00F5126C"/>
    <w:rsid w:val="00F57532"/>
    <w:rsid w:val="00F62AF1"/>
    <w:rsid w:val="00F7017D"/>
    <w:rsid w:val="00F7558B"/>
    <w:rsid w:val="00FA7CBD"/>
    <w:rsid w:val="00FB6D26"/>
    <w:rsid w:val="00FC0B9C"/>
    <w:rsid w:val="00FC4718"/>
    <w:rsid w:val="00FF00E3"/>
    <w:rsid w:val="00FF31D6"/>
    <w:rsid w:val="00FF7B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8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C9"/>
    <w:rPr>
      <w:rFonts w:ascii="Tahoma" w:hAnsi="Tahoma" w:cs="Tahoma"/>
      <w:sz w:val="16"/>
      <w:szCs w:val="16"/>
    </w:rPr>
  </w:style>
  <w:style w:type="paragraph" w:styleId="ListParagraph">
    <w:name w:val="List Paragraph"/>
    <w:basedOn w:val="Normal"/>
    <w:uiPriority w:val="34"/>
    <w:qFormat/>
    <w:rsid w:val="00A954E9"/>
    <w:pPr>
      <w:ind w:left="720"/>
      <w:contextualSpacing/>
    </w:pPr>
  </w:style>
  <w:style w:type="paragraph" w:styleId="NoSpacing">
    <w:name w:val="No Spacing"/>
    <w:uiPriority w:val="1"/>
    <w:qFormat/>
    <w:rsid w:val="00DB3EE3"/>
    <w:pPr>
      <w:spacing w:after="0" w:line="240" w:lineRule="auto"/>
    </w:pPr>
  </w:style>
  <w:style w:type="character" w:styleId="CommentReference">
    <w:name w:val="annotation reference"/>
    <w:basedOn w:val="DefaultParagraphFont"/>
    <w:uiPriority w:val="99"/>
    <w:semiHidden/>
    <w:unhideWhenUsed/>
    <w:rsid w:val="00DB3EE3"/>
    <w:rPr>
      <w:sz w:val="16"/>
      <w:szCs w:val="16"/>
    </w:rPr>
  </w:style>
  <w:style w:type="paragraph" w:styleId="CommentText">
    <w:name w:val="annotation text"/>
    <w:basedOn w:val="Normal"/>
    <w:link w:val="CommentTextChar"/>
    <w:uiPriority w:val="99"/>
    <w:semiHidden/>
    <w:unhideWhenUsed/>
    <w:rsid w:val="00DB3EE3"/>
    <w:pPr>
      <w:spacing w:line="240" w:lineRule="auto"/>
    </w:pPr>
    <w:rPr>
      <w:sz w:val="20"/>
      <w:szCs w:val="20"/>
    </w:rPr>
  </w:style>
  <w:style w:type="character" w:customStyle="1" w:styleId="CommentTextChar">
    <w:name w:val="Comment Text Char"/>
    <w:basedOn w:val="DefaultParagraphFont"/>
    <w:link w:val="CommentText"/>
    <w:uiPriority w:val="99"/>
    <w:semiHidden/>
    <w:rsid w:val="00DB3EE3"/>
    <w:rPr>
      <w:sz w:val="20"/>
      <w:szCs w:val="20"/>
    </w:rPr>
  </w:style>
  <w:style w:type="paragraph" w:styleId="CommentSubject">
    <w:name w:val="annotation subject"/>
    <w:basedOn w:val="CommentText"/>
    <w:next w:val="CommentText"/>
    <w:link w:val="CommentSubjectChar"/>
    <w:uiPriority w:val="99"/>
    <w:semiHidden/>
    <w:unhideWhenUsed/>
    <w:rsid w:val="00DB3EE3"/>
    <w:rPr>
      <w:b/>
      <w:bCs/>
    </w:rPr>
  </w:style>
  <w:style w:type="character" w:customStyle="1" w:styleId="CommentSubjectChar">
    <w:name w:val="Comment Subject Char"/>
    <w:basedOn w:val="CommentTextChar"/>
    <w:link w:val="CommentSubject"/>
    <w:uiPriority w:val="99"/>
    <w:semiHidden/>
    <w:rsid w:val="00DB3EE3"/>
    <w:rPr>
      <w:b/>
      <w:bCs/>
      <w:sz w:val="20"/>
      <w:szCs w:val="20"/>
    </w:rPr>
  </w:style>
  <w:style w:type="paragraph" w:styleId="Header">
    <w:name w:val="header"/>
    <w:basedOn w:val="Normal"/>
    <w:link w:val="HeaderChar"/>
    <w:uiPriority w:val="99"/>
    <w:unhideWhenUsed/>
    <w:rsid w:val="00186F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6FAF"/>
  </w:style>
  <w:style w:type="paragraph" w:styleId="Footer">
    <w:name w:val="footer"/>
    <w:basedOn w:val="Normal"/>
    <w:link w:val="FooterChar"/>
    <w:uiPriority w:val="99"/>
    <w:unhideWhenUsed/>
    <w:rsid w:val="00186F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6FAF"/>
  </w:style>
  <w:style w:type="character" w:styleId="Emphasis">
    <w:name w:val="Emphasis"/>
    <w:basedOn w:val="DefaultParagraphFont"/>
    <w:uiPriority w:val="20"/>
    <w:qFormat/>
    <w:rsid w:val="006231C7"/>
    <w:rPr>
      <w:i/>
      <w:iCs/>
    </w:rPr>
  </w:style>
  <w:style w:type="paragraph" w:styleId="NormalWeb">
    <w:name w:val="Normal (Web)"/>
    <w:basedOn w:val="Normal"/>
    <w:uiPriority w:val="99"/>
    <w:semiHidden/>
    <w:unhideWhenUsed/>
    <w:rsid w:val="00BB6C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C9"/>
    <w:rPr>
      <w:rFonts w:ascii="Tahoma" w:hAnsi="Tahoma" w:cs="Tahoma"/>
      <w:sz w:val="16"/>
      <w:szCs w:val="16"/>
    </w:rPr>
  </w:style>
  <w:style w:type="paragraph" w:styleId="ListParagraph">
    <w:name w:val="List Paragraph"/>
    <w:basedOn w:val="Normal"/>
    <w:uiPriority w:val="34"/>
    <w:qFormat/>
    <w:rsid w:val="00A954E9"/>
    <w:pPr>
      <w:ind w:left="720"/>
      <w:contextualSpacing/>
    </w:pPr>
  </w:style>
  <w:style w:type="paragraph" w:styleId="NoSpacing">
    <w:name w:val="No Spacing"/>
    <w:uiPriority w:val="1"/>
    <w:qFormat/>
    <w:rsid w:val="00DB3EE3"/>
    <w:pPr>
      <w:spacing w:after="0" w:line="240" w:lineRule="auto"/>
    </w:pPr>
  </w:style>
  <w:style w:type="character" w:styleId="CommentReference">
    <w:name w:val="annotation reference"/>
    <w:basedOn w:val="DefaultParagraphFont"/>
    <w:uiPriority w:val="99"/>
    <w:semiHidden/>
    <w:unhideWhenUsed/>
    <w:rsid w:val="00DB3EE3"/>
    <w:rPr>
      <w:sz w:val="16"/>
      <w:szCs w:val="16"/>
    </w:rPr>
  </w:style>
  <w:style w:type="paragraph" w:styleId="CommentText">
    <w:name w:val="annotation text"/>
    <w:basedOn w:val="Normal"/>
    <w:link w:val="CommentTextChar"/>
    <w:uiPriority w:val="99"/>
    <w:semiHidden/>
    <w:unhideWhenUsed/>
    <w:rsid w:val="00DB3EE3"/>
    <w:pPr>
      <w:spacing w:line="240" w:lineRule="auto"/>
    </w:pPr>
    <w:rPr>
      <w:sz w:val="20"/>
      <w:szCs w:val="20"/>
    </w:rPr>
  </w:style>
  <w:style w:type="character" w:customStyle="1" w:styleId="CommentTextChar">
    <w:name w:val="Comment Text Char"/>
    <w:basedOn w:val="DefaultParagraphFont"/>
    <w:link w:val="CommentText"/>
    <w:uiPriority w:val="99"/>
    <w:semiHidden/>
    <w:rsid w:val="00DB3EE3"/>
    <w:rPr>
      <w:sz w:val="20"/>
      <w:szCs w:val="20"/>
    </w:rPr>
  </w:style>
  <w:style w:type="paragraph" w:styleId="CommentSubject">
    <w:name w:val="annotation subject"/>
    <w:basedOn w:val="CommentText"/>
    <w:next w:val="CommentText"/>
    <w:link w:val="CommentSubjectChar"/>
    <w:uiPriority w:val="99"/>
    <w:semiHidden/>
    <w:unhideWhenUsed/>
    <w:rsid w:val="00DB3EE3"/>
    <w:rPr>
      <w:b/>
      <w:bCs/>
    </w:rPr>
  </w:style>
  <w:style w:type="character" w:customStyle="1" w:styleId="CommentSubjectChar">
    <w:name w:val="Comment Subject Char"/>
    <w:basedOn w:val="CommentTextChar"/>
    <w:link w:val="CommentSubject"/>
    <w:uiPriority w:val="99"/>
    <w:semiHidden/>
    <w:rsid w:val="00DB3EE3"/>
    <w:rPr>
      <w:b/>
      <w:bCs/>
      <w:sz w:val="20"/>
      <w:szCs w:val="20"/>
    </w:rPr>
  </w:style>
  <w:style w:type="paragraph" w:styleId="Header">
    <w:name w:val="header"/>
    <w:basedOn w:val="Normal"/>
    <w:link w:val="HeaderChar"/>
    <w:uiPriority w:val="99"/>
    <w:unhideWhenUsed/>
    <w:rsid w:val="00186F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6FAF"/>
  </w:style>
  <w:style w:type="paragraph" w:styleId="Footer">
    <w:name w:val="footer"/>
    <w:basedOn w:val="Normal"/>
    <w:link w:val="FooterChar"/>
    <w:uiPriority w:val="99"/>
    <w:unhideWhenUsed/>
    <w:rsid w:val="00186F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6FAF"/>
  </w:style>
  <w:style w:type="character" w:styleId="Emphasis">
    <w:name w:val="Emphasis"/>
    <w:basedOn w:val="DefaultParagraphFont"/>
    <w:uiPriority w:val="20"/>
    <w:qFormat/>
    <w:rsid w:val="006231C7"/>
    <w:rPr>
      <w:i/>
      <w:iCs/>
    </w:rPr>
  </w:style>
  <w:style w:type="paragraph" w:styleId="NormalWeb">
    <w:name w:val="Normal (Web)"/>
    <w:basedOn w:val="Normal"/>
    <w:uiPriority w:val="99"/>
    <w:semiHidden/>
    <w:unhideWhenUsed/>
    <w:rsid w:val="00BB6C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3231</Words>
  <Characters>18422</Characters>
  <Application>Microsoft Macintosh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RAPPORT D’ORIENTATIONS BUDGETAIRES 2019</vt:lpstr>
    </vt:vector>
  </TitlesOfParts>
  <Company/>
  <LinksUpToDate>false</LinksUpToDate>
  <CharactersWithSpaces>21610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D’ORIENTATIONS BUDGETAIRES 2019</dc:title>
  <dc:subject>Conseil Municipal du 05 février 2018</dc:subject>
  <dc:creator>Karine</dc:creator>
  <cp:keywords/>
  <dc:description/>
  <cp:lastModifiedBy>Karine</cp:lastModifiedBy>
  <cp:revision>2</cp:revision>
  <cp:lastPrinted>2020-02-07T09:41:00Z</cp:lastPrinted>
  <dcterms:created xsi:type="dcterms:W3CDTF">2020-03-31T14:24:00Z</dcterms:created>
  <dcterms:modified xsi:type="dcterms:W3CDTF">2020-03-31T14:24:00Z</dcterms:modified>
</cp:coreProperties>
</file>